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4B017F" w:rsidRPr="004B017F" w:rsidTr="00E937EB">
        <w:trPr>
          <w:jc w:val="center"/>
        </w:trPr>
        <w:tc>
          <w:tcPr>
            <w:tcW w:w="8820" w:type="dxa"/>
            <w:gridSpan w:val="2"/>
          </w:tcPr>
          <w:p w:rsidR="004B017F" w:rsidRPr="004B017F" w:rsidRDefault="004B017F" w:rsidP="004B017F">
            <w:pPr>
              <w:suppressLineNumbers/>
              <w:jc w:val="both"/>
              <w:rPr>
                <w:rFonts w:ascii="Arial" w:hAnsi="Arial"/>
                <w:b/>
                <w:bCs/>
              </w:rPr>
            </w:pPr>
            <w:bookmarkStart w:id="0" w:name="_GoBack"/>
            <w:bookmarkEnd w:id="0"/>
            <w:r w:rsidRPr="004B017F">
              <w:rPr>
                <w:rFonts w:ascii="Arial" w:hAnsi="Arial" w:hint="cs"/>
                <w:b/>
                <w:bCs/>
                <w:rtl/>
              </w:rPr>
              <w:t>ל</w:t>
            </w:r>
            <w:r w:rsidRPr="004B017F">
              <w:rPr>
                <w:rFonts w:ascii="Arial" w:hAnsi="Arial"/>
                <w:b/>
                <w:bCs/>
                <w:rtl/>
              </w:rPr>
              <w:t xml:space="preserve">פני </w:t>
            </w:r>
            <w:r w:rsidRPr="004B017F">
              <w:rPr>
                <w:rFonts w:ascii="Arial" w:hAnsi="Arial" w:hint="cs"/>
                <w:b/>
                <w:bCs/>
                <w:rtl/>
              </w:rPr>
              <w:t>כבוד ה</w:t>
            </w:r>
            <w:r w:rsidRPr="004B017F">
              <w:rPr>
                <w:rFonts w:ascii="Arial" w:hAnsi="Arial"/>
                <w:b/>
                <w:bCs/>
                <w:rtl/>
              </w:rPr>
              <w:t>שופטת</w:t>
            </w:r>
            <w:r w:rsidRPr="004B017F">
              <w:rPr>
                <w:rFonts w:ascii="Arial" w:hAnsi="Arial" w:hint="cs"/>
                <w:b/>
                <w:bCs/>
                <w:rtl/>
              </w:rPr>
              <w:t xml:space="preserve"> </w:t>
            </w:r>
            <w:r w:rsidRPr="004B017F">
              <w:rPr>
                <w:rFonts w:ascii="Arial" w:hAnsi="Arial"/>
                <w:b/>
                <w:bCs/>
                <w:rtl/>
              </w:rPr>
              <w:t>אספרנצה אלון</w:t>
            </w:r>
          </w:p>
        </w:tc>
      </w:tr>
      <w:tr w:rsidR="0094424E" w:rsidRPr="004B017F" w:rsidTr="00465D36">
        <w:trPr>
          <w:jc w:val="center"/>
        </w:trPr>
        <w:tc>
          <w:tcPr>
            <w:tcW w:w="3249" w:type="dxa"/>
          </w:tcPr>
          <w:p w:rsidR="0094424E" w:rsidRPr="004B017F" w:rsidRDefault="0094424E" w:rsidP="00D44968">
            <w:pPr>
              <w:suppressLineNumbers/>
              <w:rPr>
                <w:rFonts w:ascii="Arial" w:hAnsi="Arial"/>
                <w:b/>
                <w:bCs/>
                <w:noProof w:val="0"/>
              </w:rPr>
            </w:pPr>
          </w:p>
          <w:p w:rsidR="00947E88" w:rsidRPr="004B017F" w:rsidRDefault="004B017F">
            <w:pPr>
              <w:suppressLineNumbers/>
              <w:rPr>
                <w:rFonts w:ascii="Arial" w:hAnsi="Arial"/>
                <w:b/>
                <w:bCs/>
                <w:noProof w:val="0"/>
                <w:rtl/>
              </w:rPr>
            </w:pPr>
            <w:r w:rsidRPr="004B017F">
              <w:rPr>
                <w:rFonts w:ascii="Arial" w:hAnsi="Arial" w:hint="cs"/>
                <w:b/>
                <w:bCs/>
                <w:noProof w:val="0"/>
                <w:rtl/>
              </w:rPr>
              <w:t>המערער</w:t>
            </w:r>
          </w:p>
        </w:tc>
        <w:tc>
          <w:tcPr>
            <w:tcW w:w="5571" w:type="dxa"/>
          </w:tcPr>
          <w:p w:rsidR="0094424E" w:rsidRPr="004B017F" w:rsidRDefault="0094424E" w:rsidP="00D44968">
            <w:pPr>
              <w:suppressLineNumbers/>
              <w:rPr>
                <w:rFonts w:ascii="Arial" w:hAnsi="Arial"/>
                <w:b/>
                <w:bCs/>
                <w:noProof w:val="0"/>
                <w:rtl/>
              </w:rPr>
            </w:pPr>
          </w:p>
          <w:p w:rsidR="004B017F" w:rsidRDefault="00DA2495" w:rsidP="004B017F">
            <w:pPr>
              <w:suppressLineNumbers/>
              <w:rPr>
                <w:rtl/>
              </w:rPr>
            </w:pPr>
            <w:r w:rsidRPr="004B017F">
              <w:rPr>
                <w:rFonts w:ascii="Arial" w:hAnsi="Arial" w:hint="eastAsia"/>
                <w:b/>
                <w:bCs/>
                <w:noProof w:val="0"/>
                <w:rtl/>
              </w:rPr>
              <w:t>היועץ המשפטי לממשלה</w:t>
            </w:r>
          </w:p>
          <w:p w:rsidR="004B017F" w:rsidRPr="004B017F" w:rsidRDefault="004B017F" w:rsidP="004B017F">
            <w:pPr>
              <w:suppressLineNumbers/>
            </w:pPr>
            <w:r>
              <w:rPr>
                <w:rFonts w:hint="cs"/>
                <w:rtl/>
              </w:rPr>
              <w:t>ע"י פרקליטות מחוז חיפה (פלילי)</w:t>
            </w:r>
          </w:p>
        </w:tc>
      </w:tr>
      <w:tr w:rsidR="0094424E" w:rsidRPr="004B017F">
        <w:trPr>
          <w:jc w:val="center"/>
        </w:trPr>
        <w:tc>
          <w:tcPr>
            <w:tcW w:w="8820" w:type="dxa"/>
            <w:gridSpan w:val="2"/>
          </w:tcPr>
          <w:p w:rsidR="0094424E" w:rsidRPr="004B017F" w:rsidRDefault="0094424E" w:rsidP="00D44968">
            <w:pPr>
              <w:suppressLineNumbers/>
              <w:rPr>
                <w:rFonts w:ascii="Arial" w:hAnsi="Arial"/>
                <w:b/>
                <w:bCs/>
                <w:noProof w:val="0"/>
                <w:rtl/>
              </w:rPr>
            </w:pPr>
          </w:p>
          <w:p w:rsidR="0094424E" w:rsidRPr="004B017F" w:rsidRDefault="0094424E" w:rsidP="00D44968">
            <w:pPr>
              <w:suppressLineNumbers/>
              <w:jc w:val="center"/>
              <w:rPr>
                <w:rFonts w:ascii="Arial" w:hAnsi="Arial"/>
                <w:b/>
                <w:bCs/>
                <w:noProof w:val="0"/>
                <w:rtl/>
              </w:rPr>
            </w:pPr>
            <w:r w:rsidRPr="004B017F">
              <w:rPr>
                <w:rFonts w:ascii="Arial" w:hAnsi="Arial"/>
                <w:b/>
                <w:bCs/>
                <w:noProof w:val="0"/>
                <w:rtl/>
              </w:rPr>
              <w:t>נגד</w:t>
            </w:r>
          </w:p>
          <w:p w:rsidR="0094424E" w:rsidRPr="004B017F" w:rsidRDefault="0094424E" w:rsidP="00D44968">
            <w:pPr>
              <w:suppressLineNumbers/>
              <w:rPr>
                <w:rFonts w:ascii="Arial" w:hAnsi="Arial"/>
                <w:b/>
                <w:bCs/>
                <w:noProof w:val="0"/>
              </w:rPr>
            </w:pPr>
          </w:p>
        </w:tc>
      </w:tr>
      <w:tr w:rsidR="0094424E" w:rsidRPr="004B017F" w:rsidTr="009E461A">
        <w:trPr>
          <w:jc w:val="center"/>
        </w:trPr>
        <w:tc>
          <w:tcPr>
            <w:tcW w:w="3249" w:type="dxa"/>
          </w:tcPr>
          <w:p w:rsidR="0094424E" w:rsidRPr="004B017F" w:rsidRDefault="004B017F" w:rsidP="009E461A">
            <w:pPr>
              <w:suppressLineNumbers/>
              <w:rPr>
                <w:rFonts w:ascii="Arial" w:hAnsi="Arial"/>
                <w:b/>
                <w:bCs/>
                <w:noProof w:val="0"/>
              </w:rPr>
            </w:pPr>
            <w:r w:rsidRPr="004B017F">
              <w:rPr>
                <w:rFonts w:ascii="Arial" w:hAnsi="Arial" w:hint="cs"/>
                <w:b/>
                <w:bCs/>
                <w:noProof w:val="0"/>
                <w:rtl/>
              </w:rPr>
              <w:t>המשיבים</w:t>
            </w:r>
          </w:p>
        </w:tc>
        <w:tc>
          <w:tcPr>
            <w:tcW w:w="5571" w:type="dxa"/>
          </w:tcPr>
          <w:p w:rsidR="00CF6BB7" w:rsidRDefault="00DA2495" w:rsidP="00673173">
            <w:pPr>
              <w:suppressLineNumbers/>
              <w:rPr>
                <w:rtl/>
              </w:rPr>
            </w:pPr>
            <w:r w:rsidRPr="004B017F">
              <w:rPr>
                <w:rFonts w:ascii="Arial" w:hAnsi="Arial"/>
                <w:b/>
                <w:bCs/>
                <w:noProof w:val="0"/>
                <w:rtl/>
              </w:rPr>
              <w:t>1</w:t>
            </w:r>
            <w:r w:rsidR="0094424E" w:rsidRPr="004B017F">
              <w:rPr>
                <w:rFonts w:ascii="Arial" w:hAnsi="Arial"/>
                <w:b/>
                <w:bCs/>
                <w:noProof w:val="0"/>
                <w:rtl/>
              </w:rPr>
              <w:t>.</w:t>
            </w:r>
            <w:r w:rsidR="007C2453" w:rsidRPr="004B017F">
              <w:rPr>
                <w:rFonts w:ascii="Arial" w:hAnsi="Arial" w:hint="cs"/>
                <w:b/>
                <w:bCs/>
                <w:noProof w:val="0"/>
                <w:rtl/>
              </w:rPr>
              <w:t xml:space="preserve"> </w:t>
            </w:r>
            <w:r w:rsidRPr="004B017F">
              <w:rPr>
                <w:rFonts w:ascii="Arial" w:hAnsi="Arial" w:hint="eastAsia"/>
                <w:b/>
                <w:bCs/>
                <w:noProof w:val="0"/>
                <w:rtl/>
              </w:rPr>
              <w:t>א</w:t>
            </w:r>
            <w:r w:rsidR="00673173">
              <w:rPr>
                <w:rFonts w:ascii="Arial" w:hAnsi="Arial" w:hint="cs"/>
                <w:b/>
                <w:bCs/>
                <w:noProof w:val="0"/>
                <w:rtl/>
              </w:rPr>
              <w:t>'</w:t>
            </w:r>
          </w:p>
          <w:p w:rsidR="004B017F" w:rsidRPr="004B017F" w:rsidRDefault="004B017F" w:rsidP="004B017F">
            <w:pPr>
              <w:suppressLineNumbers/>
              <w:rPr>
                <w:rtl/>
              </w:rPr>
            </w:pPr>
            <w:r>
              <w:rPr>
                <w:rFonts w:hint="cs"/>
                <w:rtl/>
              </w:rPr>
              <w:t>ע"י עו"ד דקלה ויסוצקי (מטעם הסנגוריה הציבורית)</w:t>
            </w:r>
          </w:p>
          <w:p w:rsidR="00CF6BB7" w:rsidRPr="004B017F" w:rsidRDefault="00DA2495" w:rsidP="004B017F">
            <w:pPr>
              <w:suppressLineNumbers/>
              <w:rPr>
                <w:rtl/>
              </w:rPr>
            </w:pPr>
            <w:r w:rsidRPr="004B017F">
              <w:rPr>
                <w:rFonts w:ascii="Arial" w:hAnsi="Arial"/>
                <w:b/>
                <w:bCs/>
                <w:noProof w:val="0"/>
                <w:rtl/>
              </w:rPr>
              <w:t>2</w:t>
            </w:r>
            <w:r w:rsidR="0094424E" w:rsidRPr="004B017F">
              <w:rPr>
                <w:rFonts w:ascii="Arial" w:hAnsi="Arial"/>
                <w:b/>
                <w:bCs/>
                <w:noProof w:val="0"/>
                <w:rtl/>
              </w:rPr>
              <w:t>.</w:t>
            </w:r>
            <w:r w:rsidR="007C2453" w:rsidRPr="004B017F">
              <w:rPr>
                <w:rFonts w:ascii="Arial" w:hAnsi="Arial" w:hint="cs"/>
                <w:b/>
                <w:bCs/>
                <w:noProof w:val="0"/>
                <w:rtl/>
              </w:rPr>
              <w:t xml:space="preserve"> </w:t>
            </w:r>
            <w:r w:rsidR="004B017F" w:rsidRPr="004B017F">
              <w:rPr>
                <w:rFonts w:ascii="Arial" w:hAnsi="Arial" w:hint="cs"/>
                <w:b/>
                <w:bCs/>
                <w:noProof w:val="0"/>
                <w:rtl/>
              </w:rPr>
              <w:t>ה</w:t>
            </w:r>
            <w:r w:rsidRPr="004B017F">
              <w:rPr>
                <w:rFonts w:ascii="Arial" w:hAnsi="Arial" w:hint="eastAsia"/>
                <w:b/>
                <w:bCs/>
                <w:noProof w:val="0"/>
                <w:rtl/>
              </w:rPr>
              <w:t xml:space="preserve">מרכז </w:t>
            </w:r>
            <w:r w:rsidR="004B017F" w:rsidRPr="004B017F">
              <w:rPr>
                <w:rFonts w:ascii="Arial" w:hAnsi="Arial" w:hint="cs"/>
                <w:b/>
                <w:bCs/>
                <w:noProof w:val="0"/>
                <w:rtl/>
              </w:rPr>
              <w:t>ל</w:t>
            </w:r>
            <w:r w:rsidRPr="004B017F">
              <w:rPr>
                <w:rFonts w:ascii="Arial" w:hAnsi="Arial" w:hint="eastAsia"/>
                <w:b/>
                <w:bCs/>
                <w:noProof w:val="0"/>
                <w:rtl/>
              </w:rPr>
              <w:t>בריאות הנפש מזרע (מזור)</w:t>
            </w:r>
            <w:r w:rsidR="00B859C5" w:rsidRPr="004B017F">
              <w:rPr>
                <w:rFonts w:hint="cs"/>
                <w:rtl/>
              </w:rPr>
              <w:t xml:space="preserve"> </w:t>
            </w:r>
          </w:p>
        </w:tc>
      </w:tr>
    </w:tbl>
    <w:p w:rsidR="0094424E" w:rsidRDefault="0094424E" w:rsidP="00D44968">
      <w:pPr>
        <w:suppressLineNumbers/>
        <w:rPr>
          <w:rtl/>
        </w:rPr>
      </w:pPr>
    </w:p>
    <w:p w:rsidR="004B017F" w:rsidRDefault="004B017F"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4B017F">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BE79A2" w:rsidRDefault="00BE79A2" w:rsidP="00BE79A2">
      <w:pPr>
        <w:rPr>
          <w:rFonts w:ascii="David" w:hAnsi="David"/>
          <w:b/>
          <w:bCs/>
          <w:highlight w:val="yellow"/>
          <w:rtl/>
        </w:rPr>
      </w:pPr>
      <w:bookmarkStart w:id="1" w:name="NGCSBookmark"/>
      <w:bookmarkEnd w:id="1"/>
    </w:p>
    <w:p w:rsidR="00BE79A2" w:rsidRDefault="00BE79A2" w:rsidP="00BE79A2">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לפניי ערעור שהגיש ב"כ היועמ"ש (מחוז צפון – פלילי) על החלטת הוועדה הפסיכיאטרית שהתכנסה ביום 05.11.2023 בבית החולים "מזרע" (להלן: </w:t>
      </w:r>
      <w:r>
        <w:rPr>
          <w:rFonts w:ascii="David" w:hAnsi="David" w:cs="David"/>
          <w:b/>
          <w:bCs/>
          <w:sz w:val="24"/>
          <w:szCs w:val="24"/>
          <w:rtl/>
        </w:rPr>
        <w:t>"הוועדה הפסיכיאטרית</w:t>
      </w:r>
      <w:r>
        <w:rPr>
          <w:rFonts w:ascii="David" w:hAnsi="David" w:cs="David"/>
          <w:sz w:val="24"/>
          <w:szCs w:val="24"/>
          <w:rtl/>
        </w:rPr>
        <w:t>", "</w:t>
      </w:r>
      <w:r>
        <w:rPr>
          <w:rFonts w:ascii="David" w:hAnsi="David" w:cs="David"/>
          <w:b/>
          <w:bCs/>
          <w:sz w:val="24"/>
          <w:szCs w:val="24"/>
          <w:rtl/>
        </w:rPr>
        <w:t>בית החולים</w:t>
      </w:r>
      <w:r>
        <w:rPr>
          <w:rFonts w:ascii="David" w:hAnsi="David" w:cs="David"/>
          <w:sz w:val="24"/>
          <w:szCs w:val="24"/>
          <w:rtl/>
        </w:rPr>
        <w:t>" בהתאמה) מכוח סעיף 28א' לחוק טיפול בחולי נפש, תשנ"א-1991 (להלן: "</w:t>
      </w:r>
      <w:r>
        <w:rPr>
          <w:rFonts w:ascii="David" w:hAnsi="David" w:cs="David"/>
          <w:b/>
          <w:bCs/>
          <w:sz w:val="24"/>
          <w:szCs w:val="24"/>
          <w:rtl/>
        </w:rPr>
        <w:t>החוק</w:t>
      </w:r>
      <w:r>
        <w:rPr>
          <w:rFonts w:ascii="David" w:hAnsi="David" w:cs="David"/>
          <w:sz w:val="24"/>
          <w:szCs w:val="24"/>
          <w:rtl/>
        </w:rPr>
        <w:t xml:space="preserve">"), בה הוחלט לאשר למשיב </w:t>
      </w:r>
      <w:r w:rsidRPr="00560795">
        <w:rPr>
          <w:rFonts w:ascii="David" w:hAnsi="David" w:cs="David"/>
          <w:sz w:val="24"/>
          <w:szCs w:val="24"/>
          <w:u w:val="single"/>
          <w:rtl/>
        </w:rPr>
        <w:t>חופשות של עד 72 שעות, אחת לשבוע, ללא ליווי</w:t>
      </w:r>
      <w:r>
        <w:rPr>
          <w:rFonts w:ascii="David" w:hAnsi="David" w:cs="David"/>
          <w:sz w:val="24"/>
          <w:szCs w:val="24"/>
          <w:rtl/>
        </w:rPr>
        <w:t xml:space="preserve"> (להלן: "</w:t>
      </w:r>
      <w:r>
        <w:rPr>
          <w:rFonts w:ascii="David" w:hAnsi="David" w:cs="David"/>
          <w:b/>
          <w:bCs/>
          <w:sz w:val="24"/>
          <w:szCs w:val="24"/>
          <w:rtl/>
        </w:rPr>
        <w:t>החלטת הוועדה הפסיכיאטרית</w:t>
      </w:r>
      <w:r>
        <w:rPr>
          <w:rFonts w:ascii="David" w:hAnsi="David" w:cs="David"/>
          <w:sz w:val="24"/>
          <w:szCs w:val="24"/>
          <w:rtl/>
        </w:rPr>
        <w:t xml:space="preserve">"). </w:t>
      </w:r>
    </w:p>
    <w:p w:rsidR="00BE79A2" w:rsidRDefault="00BE79A2" w:rsidP="00BE79A2">
      <w:pPr>
        <w:suppressLineNumbers/>
        <w:rPr>
          <w:rFonts w:asciiTheme="minorHAnsi" w:hAnsiTheme="minorHAnsi" w:cstheme="minorBidi"/>
          <w:sz w:val="22"/>
          <w:szCs w:val="22"/>
        </w:rPr>
      </w:pPr>
    </w:p>
    <w:p w:rsidR="00BE79A2" w:rsidRDefault="00BE79A2" w:rsidP="00BE79A2">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ברקע יצוין כי ביום 01.11.2020 הוגש כנגד המשיב כתב אישום המייחס לו עבירות של חבלה בכוונה מחמירה לפי סעיף 329(א)(1) לחוק העונשין, התשל"ז-1977 (להלן: "</w:t>
      </w:r>
      <w:r>
        <w:rPr>
          <w:rFonts w:ascii="David" w:hAnsi="David" w:cs="David"/>
          <w:b/>
          <w:bCs/>
          <w:sz w:val="24"/>
          <w:szCs w:val="24"/>
          <w:rtl/>
        </w:rPr>
        <w:t>חוק העונשין</w:t>
      </w:r>
      <w:r>
        <w:rPr>
          <w:rFonts w:ascii="David" w:hAnsi="David" w:cs="David"/>
          <w:sz w:val="24"/>
          <w:szCs w:val="24"/>
          <w:rtl/>
        </w:rPr>
        <w:t xml:space="preserve">"), איומים לפי סעיף 192 לחוק העונשין וכן החזקת סכין שלא כדין לפי סעיף 186(א) לחוק העונשין, לבית המשפט המחוזי בנצרת, ת"פ 516-11-20. בכתב האישום תואר כיצד המשיב איים על אדם שכלבו נבח עליו, ולאחר מכן דלק אחריו ותקף אותו באלימות חמורה באמצעות מוט ברזל. כתוצאה מהתקיפה נגרמו למתלונן שבר בלסת וחבלות נוספות. בעת מעצרו נתפסה על גופו של המשיב סכין. </w:t>
      </w:r>
    </w:p>
    <w:p w:rsidR="00BE79A2" w:rsidRDefault="00BE79A2" w:rsidP="00BE79A2">
      <w:pPr>
        <w:pStyle w:val="ad"/>
        <w:rPr>
          <w:rFonts w:ascii="David" w:hAnsi="David" w:cs="David"/>
          <w:sz w:val="24"/>
          <w:szCs w:val="24"/>
        </w:rPr>
      </w:pPr>
    </w:p>
    <w:p w:rsidR="00BE79A2" w:rsidRDefault="00BE79A2" w:rsidP="00BE79A2">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ביום 25.11.2020 התקבלה חוות דעת פסיכיאטרית בעניינו של המשיב שקבעה כי זה אינו כשיר לעמוד לדין </w:t>
      </w:r>
      <w:r w:rsidR="00560795">
        <w:rPr>
          <w:rFonts w:ascii="David" w:hAnsi="David" w:cs="David"/>
          <w:sz w:val="24"/>
          <w:szCs w:val="24"/>
          <w:rtl/>
        </w:rPr>
        <w:t xml:space="preserve">ואינו אחראי </w:t>
      </w:r>
      <w:r w:rsidR="00560795">
        <w:rPr>
          <w:rFonts w:ascii="David" w:hAnsi="David" w:cs="David" w:hint="cs"/>
          <w:sz w:val="24"/>
          <w:szCs w:val="24"/>
          <w:rtl/>
        </w:rPr>
        <w:t>ל</w:t>
      </w:r>
      <w:r>
        <w:rPr>
          <w:rFonts w:ascii="David" w:hAnsi="David" w:cs="David"/>
          <w:sz w:val="24"/>
          <w:szCs w:val="24"/>
          <w:rtl/>
        </w:rPr>
        <w:t xml:space="preserve">מעשיו. ביום 10.12.2020 הורה בית המשפט המחוזי בנצרת על הפסקת ההליכים המשפטיים בעניינו של המשיב עקב היותו בלתי כשיר לעמוד לדין ובהתאם הוצא כנגדו צו אשפוז מכוח סעיף 15(א) לחוק המורה על אשפוזו לתקופה מרבית של 20 שנים. </w:t>
      </w:r>
    </w:p>
    <w:p w:rsidR="00BE79A2" w:rsidRDefault="00BE79A2" w:rsidP="00BE79A2">
      <w:pPr>
        <w:pStyle w:val="ad"/>
        <w:rPr>
          <w:rFonts w:ascii="David" w:hAnsi="David" w:cs="David"/>
          <w:sz w:val="24"/>
          <w:szCs w:val="24"/>
        </w:rPr>
      </w:pPr>
    </w:p>
    <w:p w:rsidR="00BE79A2" w:rsidRDefault="00BE79A2" w:rsidP="00BE79A2">
      <w:pPr>
        <w:pStyle w:val="ad"/>
        <w:ind w:left="-483"/>
        <w:rPr>
          <w:rFonts w:ascii="David" w:hAnsi="David" w:cs="David"/>
          <w:b/>
          <w:bCs/>
          <w:sz w:val="24"/>
          <w:szCs w:val="24"/>
          <w:rtl/>
        </w:rPr>
      </w:pPr>
    </w:p>
    <w:p w:rsidR="00BE79A2" w:rsidRDefault="00BE79A2" w:rsidP="00BE79A2">
      <w:pPr>
        <w:pStyle w:val="ad"/>
        <w:ind w:left="-483"/>
        <w:rPr>
          <w:rFonts w:ascii="David" w:hAnsi="David" w:cs="David"/>
          <w:b/>
          <w:bCs/>
          <w:sz w:val="24"/>
          <w:szCs w:val="24"/>
          <w:rtl/>
        </w:rPr>
      </w:pPr>
      <w:r>
        <w:rPr>
          <w:rFonts w:ascii="David" w:hAnsi="David" w:cs="David"/>
          <w:b/>
          <w:bCs/>
          <w:sz w:val="24"/>
          <w:szCs w:val="24"/>
          <w:rtl/>
        </w:rPr>
        <w:t>תמצית טענות ב"כ היועמ"ש</w:t>
      </w:r>
    </w:p>
    <w:p w:rsidR="00BE79A2" w:rsidRDefault="00BE79A2" w:rsidP="00BE79A2">
      <w:pPr>
        <w:pStyle w:val="ad"/>
        <w:spacing w:after="0" w:line="360" w:lineRule="auto"/>
        <w:ind w:left="-58" w:right="-142"/>
        <w:jc w:val="both"/>
        <w:rPr>
          <w:rFonts w:ascii="David" w:hAnsi="David" w:cs="David"/>
          <w:sz w:val="24"/>
          <w:szCs w:val="24"/>
          <w:rtl/>
        </w:rPr>
      </w:pPr>
    </w:p>
    <w:p w:rsidR="00BE79A2" w:rsidRDefault="00BE79A2" w:rsidP="00BE79A2">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עסקינן במשיב שהואשם בכתב אישום חמור הכולל עבירת אלימות קשה ואכזרית כלפי קורבן חף מפשע, אשר נגרם לו נזק כבד. כעולה מחוות הדעת בעניינו, עוד קודם לאשפוזו הנוכחי היה המשיב מוכר למערכת עקב אשפוזים קודמים, אירועים אובדניים ואירועי אלימות. גם במהלך אשפוזו הנוכחי חלו עליות ומורדות במצבו הנפשי. בחודש פברואר 2023 התרשמות המחלקה הייתה כי המשיב היה במצב פסיכוטי פעיל, וגם עובר לוועדה ביום 23.07.2023 עדיין הייתה התרשמות למחשבות שווא. </w:t>
      </w:r>
    </w:p>
    <w:p w:rsidR="00BE79A2" w:rsidRDefault="00BE79A2" w:rsidP="00BE79A2">
      <w:pPr>
        <w:pStyle w:val="ad"/>
        <w:spacing w:after="0" w:line="360" w:lineRule="auto"/>
        <w:ind w:left="-58" w:right="-142"/>
        <w:jc w:val="both"/>
        <w:rPr>
          <w:rFonts w:ascii="David" w:hAnsi="David" w:cs="David"/>
          <w:sz w:val="24"/>
          <w:szCs w:val="24"/>
        </w:rPr>
      </w:pPr>
    </w:p>
    <w:p w:rsidR="00BE79A2" w:rsidRDefault="00BE79A2" w:rsidP="00B55C57">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lastRenderedPageBreak/>
        <w:t xml:space="preserve">לגרסת ב"כ היועמ"ש, החלטת הועדה הפסיכיאטרית </w:t>
      </w:r>
      <w:r w:rsidRPr="00B55C57">
        <w:rPr>
          <w:rFonts w:ascii="David" w:hAnsi="David" w:cs="David"/>
          <w:sz w:val="24"/>
          <w:szCs w:val="24"/>
          <w:u w:val="single"/>
          <w:rtl/>
        </w:rPr>
        <w:t>להאריך</w:t>
      </w:r>
      <w:r>
        <w:rPr>
          <w:rFonts w:ascii="David" w:hAnsi="David" w:cs="David"/>
          <w:sz w:val="24"/>
          <w:szCs w:val="24"/>
          <w:rtl/>
        </w:rPr>
        <w:t xml:space="preserve"> את משך חופשותיו של המשיב וגם לאפשר לו חופשות </w:t>
      </w:r>
      <w:r w:rsidRPr="00B55C57">
        <w:rPr>
          <w:rFonts w:ascii="David" w:hAnsi="David" w:cs="David"/>
          <w:sz w:val="24"/>
          <w:szCs w:val="24"/>
          <w:u w:val="single"/>
          <w:rtl/>
        </w:rPr>
        <w:t>ללא ליווי</w:t>
      </w:r>
      <w:r>
        <w:rPr>
          <w:rFonts w:ascii="David" w:hAnsi="David" w:cs="David"/>
          <w:sz w:val="24"/>
          <w:szCs w:val="24"/>
          <w:rtl/>
        </w:rPr>
        <w:t xml:space="preserve"> הינה החלטה שגויה שאינה מביאה בחשבון את כלל השיקולים הצריכים לעניין, אינה סבירה ואין בה איזון הולם בין האינטרס הציבורי והדאגה לשלום הציבור לבין האינטרס הפרטי של המשיב. עוד טוען ב"כ היועמ"ש כי החלטת הוועדה הפסיכיאטרית</w:t>
      </w:r>
      <w:r w:rsidR="00B55C57">
        <w:rPr>
          <w:rFonts w:ascii="David" w:hAnsi="David" w:cs="David" w:hint="cs"/>
          <w:sz w:val="24"/>
          <w:szCs w:val="24"/>
          <w:rtl/>
        </w:rPr>
        <w:t xml:space="preserve"> ועומדת</w:t>
      </w:r>
      <w:r>
        <w:rPr>
          <w:rFonts w:ascii="David" w:hAnsi="David" w:cs="David"/>
          <w:sz w:val="24"/>
          <w:szCs w:val="24"/>
          <w:rtl/>
        </w:rPr>
        <w:t xml:space="preserve"> בניגוד להחלטת הוועדה הפסיכיאטרית מיום 23.07.2023. הוועדה הפסיכיאטרית לא </w:t>
      </w:r>
      <w:r w:rsidR="00B55C57">
        <w:rPr>
          <w:rFonts w:ascii="David" w:hAnsi="David" w:cs="David"/>
          <w:sz w:val="24"/>
          <w:szCs w:val="24"/>
          <w:rtl/>
        </w:rPr>
        <w:t>נימקה מדוע החליטה 4 חודשים בלבד</w:t>
      </w:r>
      <w:r w:rsidR="00B55C57">
        <w:rPr>
          <w:rFonts w:ascii="David" w:hAnsi="David" w:cs="David" w:hint="cs"/>
          <w:sz w:val="24"/>
          <w:szCs w:val="24"/>
          <w:rtl/>
        </w:rPr>
        <w:t xml:space="preserve">, </w:t>
      </w:r>
      <w:r w:rsidR="00B55C57">
        <w:rPr>
          <w:rFonts w:ascii="David" w:hAnsi="David" w:cs="David"/>
          <w:sz w:val="24"/>
          <w:szCs w:val="24"/>
          <w:rtl/>
        </w:rPr>
        <w:t xml:space="preserve">לאשר למשיב חופשות בנות 72 שעות, ללא ליווי </w:t>
      </w:r>
      <w:r w:rsidR="00B55C57">
        <w:rPr>
          <w:rFonts w:ascii="David" w:hAnsi="David" w:cs="David" w:hint="cs"/>
          <w:sz w:val="24"/>
          <w:szCs w:val="24"/>
          <w:rtl/>
        </w:rPr>
        <w:t xml:space="preserve">בעוד שוועדה פסיכיאטרית קודמת, </w:t>
      </w:r>
      <w:r>
        <w:rPr>
          <w:rFonts w:ascii="David" w:hAnsi="David" w:cs="David"/>
          <w:sz w:val="24"/>
          <w:szCs w:val="24"/>
          <w:rtl/>
        </w:rPr>
        <w:t xml:space="preserve">דחתה את המלצת המחלקה </w:t>
      </w:r>
      <w:r w:rsidR="00B55C57">
        <w:rPr>
          <w:rFonts w:ascii="David" w:hAnsi="David" w:cs="David" w:hint="cs"/>
          <w:sz w:val="24"/>
          <w:szCs w:val="24"/>
          <w:rtl/>
        </w:rPr>
        <w:t xml:space="preserve">לאפשר למשיב </w:t>
      </w:r>
      <w:r>
        <w:rPr>
          <w:rFonts w:ascii="David" w:hAnsi="David" w:cs="David"/>
          <w:sz w:val="24"/>
          <w:szCs w:val="24"/>
          <w:rtl/>
        </w:rPr>
        <w:t>חופשות בנות 48 שעות ללא ליווי (והותירה את דרישת הליווי על כנה)</w:t>
      </w:r>
      <w:r w:rsidR="00B55C57">
        <w:rPr>
          <w:rFonts w:ascii="David" w:hAnsi="David" w:cs="David" w:hint="cs"/>
          <w:sz w:val="24"/>
          <w:szCs w:val="24"/>
          <w:rtl/>
        </w:rPr>
        <w:t xml:space="preserve">. לטענתו, הוועדה הפסיכיאטרית </w:t>
      </w:r>
      <w:r>
        <w:rPr>
          <w:rFonts w:ascii="David" w:hAnsi="David" w:cs="David"/>
          <w:sz w:val="24"/>
          <w:szCs w:val="24"/>
          <w:rtl/>
        </w:rPr>
        <w:t xml:space="preserve">לא נימקה כיצד </w:t>
      </w:r>
      <w:r w:rsidR="00B55C57">
        <w:rPr>
          <w:rFonts w:ascii="David" w:hAnsi="David" w:cs="David"/>
          <w:sz w:val="24"/>
          <w:szCs w:val="24"/>
          <w:rtl/>
        </w:rPr>
        <w:t xml:space="preserve">הגיעה למסקנה </w:t>
      </w:r>
      <w:r w:rsidR="00B55C57">
        <w:rPr>
          <w:rFonts w:ascii="David" w:hAnsi="David" w:cs="David" w:hint="cs"/>
          <w:sz w:val="24"/>
          <w:szCs w:val="24"/>
          <w:rtl/>
        </w:rPr>
        <w:t xml:space="preserve">כי יש ליתן </w:t>
      </w:r>
      <w:r w:rsidR="00B55C57">
        <w:rPr>
          <w:rFonts w:ascii="David" w:hAnsi="David" w:cs="David"/>
          <w:sz w:val="24"/>
          <w:szCs w:val="24"/>
          <w:rtl/>
        </w:rPr>
        <w:t>המשיב</w:t>
      </w:r>
      <w:r w:rsidR="00B55C57">
        <w:rPr>
          <w:rFonts w:ascii="David" w:hAnsi="David" w:cs="David" w:hint="cs"/>
          <w:sz w:val="24"/>
          <w:szCs w:val="24"/>
          <w:rtl/>
        </w:rPr>
        <w:t xml:space="preserve"> </w:t>
      </w:r>
      <w:r>
        <w:rPr>
          <w:rFonts w:ascii="David" w:hAnsi="David" w:cs="David"/>
          <w:sz w:val="24"/>
          <w:szCs w:val="24"/>
          <w:rtl/>
        </w:rPr>
        <w:t>הקלה כה משמעותית</w:t>
      </w:r>
      <w:r w:rsidR="00B55C57">
        <w:rPr>
          <w:rFonts w:ascii="David" w:hAnsi="David" w:cs="David" w:hint="cs"/>
          <w:sz w:val="24"/>
          <w:szCs w:val="24"/>
          <w:rtl/>
        </w:rPr>
        <w:t xml:space="preserve"> למשיב אשר מצוי ברמיסיה</w:t>
      </w:r>
      <w:r>
        <w:rPr>
          <w:rFonts w:ascii="David" w:hAnsi="David" w:cs="David"/>
          <w:sz w:val="24"/>
          <w:szCs w:val="24"/>
          <w:rtl/>
        </w:rPr>
        <w:t>. ב"כ היועמ"ש טוען כי מדובר בהקלה בלתי סבירה בצורה קיצונית, "ח</w:t>
      </w:r>
      <w:r w:rsidR="00B55C57">
        <w:rPr>
          <w:rFonts w:ascii="David" w:hAnsi="David" w:cs="David"/>
          <w:sz w:val="24"/>
          <w:szCs w:val="24"/>
          <w:rtl/>
        </w:rPr>
        <w:t>דה", שאינה הולמת את נתוני המשיב</w:t>
      </w:r>
      <w:r w:rsidR="00B55C57">
        <w:rPr>
          <w:rFonts w:ascii="David" w:hAnsi="David" w:cs="David" w:hint="cs"/>
          <w:sz w:val="24"/>
          <w:szCs w:val="24"/>
          <w:rtl/>
        </w:rPr>
        <w:t>. זאת ובנוסף נטען כי,</w:t>
      </w:r>
      <w:r>
        <w:rPr>
          <w:rFonts w:ascii="David" w:hAnsi="David" w:cs="David"/>
          <w:sz w:val="24"/>
          <w:szCs w:val="24"/>
          <w:rtl/>
        </w:rPr>
        <w:t xml:space="preserve"> הוועדה הפסיכיאטרית לא הביאה בחשבון את המצב הביטחוני השורר בארץ, את השפעתו האפשרית על המשיב, ואת הדרישה המוגברת להגן על שלום הציבור בעת הזו. נוכח האמור, מבקש ב"כ היועמ"ש מבית המשפט לבטל את החלטת הוועדה הפסיכיאטרית ולהותיר את סטטוס המשיב על כנו, קרי חופשות למשך 48 שעות אחת לשבוע, בליווי.</w:t>
      </w:r>
    </w:p>
    <w:p w:rsidR="00BE79A2" w:rsidRDefault="00BE79A2" w:rsidP="00BE79A2">
      <w:pPr>
        <w:pStyle w:val="ad"/>
        <w:spacing w:after="0" w:line="360" w:lineRule="auto"/>
        <w:ind w:left="-58" w:right="-142"/>
        <w:jc w:val="both"/>
        <w:rPr>
          <w:rFonts w:ascii="David" w:hAnsi="David" w:cs="David"/>
          <w:sz w:val="24"/>
          <w:szCs w:val="24"/>
        </w:rPr>
      </w:pPr>
    </w:p>
    <w:p w:rsidR="00BE79A2" w:rsidRDefault="00BE79A2" w:rsidP="00BE79A2">
      <w:pPr>
        <w:pStyle w:val="ad"/>
        <w:ind w:left="-483"/>
        <w:rPr>
          <w:rFonts w:ascii="David" w:hAnsi="David" w:cs="David"/>
          <w:b/>
          <w:bCs/>
          <w:sz w:val="24"/>
          <w:szCs w:val="24"/>
          <w:rtl/>
        </w:rPr>
      </w:pPr>
      <w:r>
        <w:rPr>
          <w:rFonts w:ascii="David" w:hAnsi="David" w:cs="David"/>
          <w:b/>
          <w:bCs/>
          <w:sz w:val="24"/>
          <w:szCs w:val="24"/>
          <w:rtl/>
        </w:rPr>
        <w:t>תמצית טענות ב"כ המשיב</w:t>
      </w:r>
    </w:p>
    <w:p w:rsidR="00BE79A2" w:rsidRDefault="00BE79A2" w:rsidP="00BE79A2">
      <w:pPr>
        <w:pStyle w:val="ad"/>
        <w:ind w:left="-483"/>
        <w:rPr>
          <w:rFonts w:ascii="David" w:hAnsi="David" w:cs="David"/>
          <w:b/>
          <w:bCs/>
          <w:sz w:val="24"/>
          <w:szCs w:val="24"/>
          <w:rtl/>
        </w:rPr>
      </w:pPr>
    </w:p>
    <w:p w:rsidR="00BE79A2" w:rsidRDefault="00BE79A2" w:rsidP="00673173">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על אף חומרת כתב האישום, אסור לשכוח כי המעשים נעשו כשהמשיב היה במצב פסיכוטי חריף, לא </w:t>
      </w:r>
      <w:r w:rsidR="00F059A2">
        <w:rPr>
          <w:rFonts w:ascii="David" w:hAnsi="David" w:cs="David" w:hint="cs"/>
          <w:sz w:val="24"/>
          <w:szCs w:val="24"/>
          <w:rtl/>
        </w:rPr>
        <w:t xml:space="preserve">היה </w:t>
      </w:r>
      <w:r>
        <w:rPr>
          <w:rFonts w:ascii="David" w:hAnsi="David" w:cs="David"/>
          <w:sz w:val="24"/>
          <w:szCs w:val="24"/>
          <w:rtl/>
        </w:rPr>
        <w:t>אחראי למעשיו, לא</w:t>
      </w:r>
      <w:r w:rsidR="00F059A2">
        <w:rPr>
          <w:rFonts w:ascii="David" w:hAnsi="David" w:cs="David" w:hint="cs"/>
          <w:sz w:val="24"/>
          <w:szCs w:val="24"/>
          <w:rtl/>
        </w:rPr>
        <w:t xml:space="preserve"> היה </w:t>
      </w:r>
      <w:r>
        <w:rPr>
          <w:rFonts w:ascii="David" w:hAnsi="David" w:cs="David"/>
          <w:sz w:val="24"/>
          <w:szCs w:val="24"/>
          <w:rtl/>
        </w:rPr>
        <w:t xml:space="preserve"> כשיר לעמוד לדין ועל לכן ניתן צו אשפוז, המסוכנות שניתן היה לייחס אז למשיב </w:t>
      </w:r>
      <w:r w:rsidR="00713D77">
        <w:rPr>
          <w:rFonts w:ascii="David" w:hAnsi="David" w:cs="David"/>
          <w:sz w:val="24"/>
          <w:szCs w:val="24"/>
          <w:rtl/>
        </w:rPr>
        <w:t>לא ניתן ליחס</w:t>
      </w:r>
      <w:r w:rsidR="00673173">
        <w:rPr>
          <w:rFonts w:ascii="David" w:hAnsi="David" w:cs="David" w:hint="cs"/>
          <w:sz w:val="24"/>
          <w:szCs w:val="24"/>
          <w:rtl/>
        </w:rPr>
        <w:t>ה</w:t>
      </w:r>
      <w:r w:rsidR="00713D77">
        <w:rPr>
          <w:rFonts w:ascii="David" w:hAnsi="David" w:cs="David"/>
          <w:sz w:val="24"/>
          <w:szCs w:val="24"/>
          <w:rtl/>
        </w:rPr>
        <w:t xml:space="preserve"> כיום לאחר שנים של אשפוז, </w:t>
      </w:r>
      <w:r>
        <w:rPr>
          <w:rFonts w:ascii="David" w:hAnsi="David" w:cs="David"/>
          <w:sz w:val="24"/>
          <w:szCs w:val="24"/>
          <w:rtl/>
        </w:rPr>
        <w:t>טיפול ואיזון תרופתי.</w:t>
      </w:r>
    </w:p>
    <w:p w:rsidR="00BE79A2" w:rsidRDefault="00BE79A2" w:rsidP="00BE79A2">
      <w:pPr>
        <w:spacing w:line="360" w:lineRule="auto"/>
        <w:ind w:right="-142"/>
        <w:jc w:val="both"/>
        <w:rPr>
          <w:rFonts w:asciiTheme="minorHAnsi" w:hAnsiTheme="minorHAnsi" w:cstheme="minorBidi"/>
          <w:sz w:val="22"/>
          <w:szCs w:val="22"/>
          <w:rtl/>
        </w:rPr>
      </w:pPr>
    </w:p>
    <w:p w:rsidR="00BE79A2" w:rsidRDefault="00BE79A2" w:rsidP="00713D77">
      <w:pPr>
        <w:pStyle w:val="ad"/>
        <w:numPr>
          <w:ilvl w:val="0"/>
          <w:numId w:val="1"/>
        </w:numPr>
        <w:spacing w:after="0" w:line="360" w:lineRule="auto"/>
        <w:ind w:left="-58" w:right="-142"/>
        <w:jc w:val="both"/>
        <w:rPr>
          <w:rtl/>
        </w:rPr>
      </w:pPr>
      <w:r>
        <w:rPr>
          <w:rFonts w:ascii="David" w:hAnsi="David" w:cs="David"/>
          <w:sz w:val="24"/>
          <w:szCs w:val="24"/>
          <w:rtl/>
        </w:rPr>
        <w:t xml:space="preserve">לאור המצב הביטחוני השורר במדינה, חלק רחב מהמטופלים בבית החולים הועברו יחד עם הצוות הרפואי ללב השרון. היום המשיב מאושפז בלב השרון ולא בבית החולים "מזרע" וכתוצאה מכך הוא לא יוצא כמעט לחופשות, כיוון ומשפחתו מתגוררת בטבריה, על כן </w:t>
      </w:r>
      <w:r w:rsidR="00713D77">
        <w:rPr>
          <w:rFonts w:ascii="David" w:hAnsi="David" w:cs="David" w:hint="cs"/>
          <w:sz w:val="24"/>
          <w:szCs w:val="24"/>
          <w:rtl/>
        </w:rPr>
        <w:t>מלוויו</w:t>
      </w:r>
      <w:r>
        <w:rPr>
          <w:rFonts w:ascii="David" w:hAnsi="David" w:cs="David"/>
          <w:sz w:val="24"/>
          <w:szCs w:val="24"/>
          <w:rtl/>
        </w:rPr>
        <w:t xml:space="preserve">, בתו ובנו, אינם יכולים לנסוע מטבריה ללב השרון נוכח העובדה שהם צריכים לטפל בילדיהם הקטנים, נוכח המרחק הרב, נוכח היעדר רכב פרטי ובעיית תחבורה ציבורית. כתוצאה מכך המשיב אינו יוצא לחופשות. </w:t>
      </w:r>
    </w:p>
    <w:p w:rsidR="00BE79A2" w:rsidRDefault="00BE79A2" w:rsidP="00BE79A2">
      <w:pPr>
        <w:spacing w:line="360" w:lineRule="auto"/>
        <w:ind w:right="-142"/>
        <w:jc w:val="both"/>
        <w:rPr>
          <w:rtl/>
        </w:rPr>
      </w:pPr>
    </w:p>
    <w:p w:rsidR="00BE79A2" w:rsidRDefault="00BE79A2" w:rsidP="00BE79A2">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ב"כ המשיב סבורה כי המלצת מחלקת בית החולים מדברת בעד עצמה. מצבו של המשיב מאוזן זה זמן רב, הוא יוצא לחופשות של 48 שעות בליווי וזאת כחלק ממגמת הרחבה של חופשות וטענה כי מדובר בהקלה בלתי סבירה באופן קיצוני אינה הולמת את נתוניו האישיים של המשיב, בדיקות הוועדה הפסיכיאטרית וכן וועדות קודמות. עמדת המחלקה שמטפלת במשיב יום ביומו הינה סבירה, תוך שהיא לוקחת את המרחק מלב השרון לטבריה, את מרחק הנסיעה וכיו"ב. נוכח כל הנתונים של המשיב יש מקום לדחות את עמדת הפרקליטות ולאפשר לו חופשות ללא ליווי.</w:t>
      </w:r>
    </w:p>
    <w:p w:rsidR="00BE79A2" w:rsidRDefault="00BE79A2" w:rsidP="00BE79A2">
      <w:pPr>
        <w:pStyle w:val="ad"/>
        <w:spacing w:after="0" w:line="360" w:lineRule="auto"/>
        <w:ind w:left="-58" w:right="-142"/>
        <w:jc w:val="both"/>
        <w:rPr>
          <w:rFonts w:ascii="David" w:hAnsi="David" w:cs="David"/>
          <w:sz w:val="24"/>
          <w:szCs w:val="24"/>
          <w:rtl/>
        </w:rPr>
      </w:pPr>
    </w:p>
    <w:p w:rsidR="00713D77" w:rsidRDefault="00713D77" w:rsidP="00BE79A2">
      <w:pPr>
        <w:pStyle w:val="ad"/>
        <w:ind w:left="-483"/>
        <w:rPr>
          <w:rFonts w:ascii="David" w:hAnsi="David" w:cs="David"/>
          <w:b/>
          <w:bCs/>
          <w:sz w:val="24"/>
          <w:szCs w:val="24"/>
          <w:rtl/>
        </w:rPr>
      </w:pPr>
    </w:p>
    <w:p w:rsidR="00713D77" w:rsidRDefault="00713D77" w:rsidP="00BE79A2">
      <w:pPr>
        <w:pStyle w:val="ad"/>
        <w:ind w:left="-483"/>
        <w:rPr>
          <w:rFonts w:ascii="David" w:hAnsi="David" w:cs="David"/>
          <w:b/>
          <w:bCs/>
          <w:sz w:val="24"/>
          <w:szCs w:val="24"/>
          <w:rtl/>
        </w:rPr>
      </w:pPr>
    </w:p>
    <w:p w:rsidR="00713D77" w:rsidRDefault="00713D77" w:rsidP="00BE79A2">
      <w:pPr>
        <w:pStyle w:val="ad"/>
        <w:ind w:left="-483"/>
        <w:rPr>
          <w:rFonts w:ascii="David" w:hAnsi="David" w:cs="David"/>
          <w:b/>
          <w:bCs/>
          <w:sz w:val="24"/>
          <w:szCs w:val="24"/>
          <w:rtl/>
        </w:rPr>
      </w:pPr>
    </w:p>
    <w:p w:rsidR="00BE79A2" w:rsidRPr="00713D77" w:rsidRDefault="00713D77" w:rsidP="00713D77">
      <w:pPr>
        <w:pStyle w:val="ad"/>
        <w:ind w:left="-483"/>
        <w:rPr>
          <w:rFonts w:ascii="David" w:hAnsi="David" w:cs="David"/>
          <w:b/>
          <w:bCs/>
          <w:sz w:val="24"/>
          <w:szCs w:val="24"/>
          <w:rtl/>
        </w:rPr>
      </w:pPr>
      <w:r>
        <w:rPr>
          <w:rFonts w:ascii="David" w:hAnsi="David" w:cs="David"/>
          <w:b/>
          <w:bCs/>
          <w:sz w:val="24"/>
          <w:szCs w:val="24"/>
          <w:rtl/>
        </w:rPr>
        <w:lastRenderedPageBreak/>
        <w:t>דיון והכרעה</w:t>
      </w:r>
      <w:r>
        <w:rPr>
          <w:rFonts w:ascii="David" w:hAnsi="David" w:cs="David" w:hint="cs"/>
          <w:b/>
          <w:bCs/>
          <w:sz w:val="24"/>
          <w:szCs w:val="24"/>
          <w:rtl/>
        </w:rPr>
        <w:t>:</w:t>
      </w:r>
    </w:p>
    <w:p w:rsidR="00BE79A2" w:rsidRDefault="00BE79A2" w:rsidP="00BE79A2">
      <w:pPr>
        <w:pStyle w:val="ad"/>
        <w:ind w:left="-483"/>
        <w:rPr>
          <w:rFonts w:ascii="David" w:hAnsi="David" w:cs="David"/>
          <w:b/>
          <w:bCs/>
          <w:sz w:val="24"/>
          <w:szCs w:val="24"/>
          <w:rtl/>
        </w:rPr>
      </w:pPr>
    </w:p>
    <w:p w:rsidR="00BE79A2" w:rsidRDefault="00BE79A2" w:rsidP="00713D77">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טרם דבריי, אציין כי לאחר ששמעתי את עמדות הצדדים ועיינתי בחומר הרפואי, הצעתי כי הצדדים יסכימו למתווה של פשרה, לפיו 3 חודשים יהיו חופשות המשיב במתכונת של 48 שעות ללא ליווי, ולאחר מכן 72 שעות ללא ליווי, כפוף להמלצת מנהל המחלקה מעת לעת. ב"כ היועמ"ש התנגדה ולא הסכימה למתווה </w:t>
      </w:r>
      <w:r w:rsidR="00713D77">
        <w:rPr>
          <w:rFonts w:ascii="David" w:hAnsi="David" w:cs="David" w:hint="cs"/>
          <w:sz w:val="24"/>
          <w:szCs w:val="24"/>
          <w:rtl/>
        </w:rPr>
        <w:t>ה</w:t>
      </w:r>
      <w:r>
        <w:rPr>
          <w:rFonts w:ascii="David" w:hAnsi="David" w:cs="David"/>
          <w:sz w:val="24"/>
          <w:szCs w:val="24"/>
          <w:rtl/>
        </w:rPr>
        <w:t xml:space="preserve">מוצע, </w:t>
      </w:r>
      <w:r w:rsidR="00713D77">
        <w:rPr>
          <w:rFonts w:ascii="David" w:hAnsi="David" w:cs="David" w:hint="cs"/>
          <w:sz w:val="24"/>
          <w:szCs w:val="24"/>
          <w:rtl/>
        </w:rPr>
        <w:t>בעוד ש</w:t>
      </w:r>
      <w:r>
        <w:rPr>
          <w:rFonts w:ascii="David" w:hAnsi="David" w:cs="David"/>
          <w:sz w:val="24"/>
          <w:szCs w:val="24"/>
          <w:rtl/>
        </w:rPr>
        <w:t>ב"כ המשיב הסכימה להצעת בית המשפט.</w:t>
      </w:r>
    </w:p>
    <w:p w:rsidR="00BE79A2" w:rsidRDefault="00BE79A2" w:rsidP="00BE79A2">
      <w:pPr>
        <w:spacing w:line="360" w:lineRule="auto"/>
        <w:ind w:right="-142"/>
        <w:jc w:val="both"/>
        <w:rPr>
          <w:rFonts w:ascii="David" w:hAnsi="David"/>
        </w:rPr>
      </w:pPr>
    </w:p>
    <w:p w:rsidR="00BE79A2" w:rsidRDefault="00BE79A2" w:rsidP="00BE79A2">
      <w:pPr>
        <w:spacing w:line="360" w:lineRule="auto"/>
        <w:ind w:right="-142"/>
        <w:jc w:val="both"/>
        <w:rPr>
          <w:rFonts w:ascii="David" w:hAnsi="David"/>
          <w:rtl/>
        </w:rPr>
      </w:pPr>
      <w:r>
        <w:rPr>
          <w:rFonts w:ascii="David" w:hAnsi="David"/>
          <w:rtl/>
        </w:rPr>
        <w:t>ועתה לפסק הדין.</w:t>
      </w:r>
    </w:p>
    <w:p w:rsidR="00BE79A2" w:rsidRDefault="00BE79A2" w:rsidP="00BE79A2">
      <w:pPr>
        <w:pStyle w:val="ad"/>
        <w:spacing w:after="0" w:line="360" w:lineRule="auto"/>
        <w:ind w:left="-58" w:right="-142"/>
        <w:jc w:val="both"/>
        <w:rPr>
          <w:rFonts w:ascii="David" w:hAnsi="David" w:cs="David"/>
          <w:sz w:val="24"/>
          <w:szCs w:val="24"/>
        </w:rPr>
      </w:pPr>
    </w:p>
    <w:p w:rsidR="00BE79A2" w:rsidRDefault="00BE79A2" w:rsidP="00BE79A2">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נימוקי הוועדה הפסיכיאטרית היו כדלקמן:</w:t>
      </w:r>
    </w:p>
    <w:p w:rsidR="00BE79A2" w:rsidRDefault="00BE79A2" w:rsidP="00BE79A2">
      <w:pPr>
        <w:pStyle w:val="ad"/>
        <w:spacing w:after="0" w:line="360" w:lineRule="auto"/>
        <w:ind w:left="-58" w:right="-142"/>
        <w:jc w:val="both"/>
        <w:rPr>
          <w:rFonts w:ascii="David" w:hAnsi="David" w:cs="David"/>
          <w:sz w:val="24"/>
          <w:szCs w:val="24"/>
        </w:rPr>
      </w:pPr>
    </w:p>
    <w:p w:rsidR="00BE79A2" w:rsidRDefault="00BE79A2" w:rsidP="00BE79A2">
      <w:pPr>
        <w:spacing w:line="360" w:lineRule="auto"/>
        <w:jc w:val="both"/>
        <w:rPr>
          <w:rFonts w:ascii="David" w:hAnsi="David"/>
          <w:b/>
          <w:bCs/>
        </w:rPr>
      </w:pPr>
      <w:r>
        <w:rPr>
          <w:rFonts w:ascii="David" w:hAnsi="David"/>
          <w:b/>
          <w:bCs/>
          <w:rtl/>
        </w:rPr>
        <w:t xml:space="preserve">"מדובר במטופל המוכר למערכת הפסיכיאטרית ומאובחן כלוקה בסכיזופרניה ושימוש בסמים. מאושפז בתוקף צו שניתן בתאריך 10.12.20 לתקופה מירבית של עד 20 שנים, בגין עבירות של חבלה בכוונה מחמירה, איומים והחזקת סכין שלא כדין. המטופל שוהה במחלקה פתוחה, נמצא בסטאטוס חופשות עד 48 שעות בליווי. היום בקשת המחלקה לאשר מתן חופשות עד 72 שעות, ללא ליווי. על פי דיווח מהמחלקה עם הטיפול התרופתי חל שיפור משמעותי במצבו הנפשי. שולל שימוש בסמים ולא נראה תחת השפעת חומרים פסיכואקטיביים. יוצא לחופשות בליווי ללא חריג. כעת ללא עדות למצב פסיכוטי פעיל, לא אובדני, ללא כוונות לפגוע בזולת. משתף פעולה עם תכנית הטיפול. יוצא לחופשות בליווי ללא אירועים חריגים. </w:t>
      </w:r>
    </w:p>
    <w:p w:rsidR="00BE79A2" w:rsidRDefault="00BE79A2" w:rsidP="00BE79A2">
      <w:pPr>
        <w:spacing w:line="360" w:lineRule="auto"/>
        <w:jc w:val="both"/>
        <w:rPr>
          <w:rFonts w:ascii="David" w:hAnsi="David"/>
          <w:b/>
          <w:bCs/>
          <w:rtl/>
        </w:rPr>
      </w:pPr>
      <w:r>
        <w:rPr>
          <w:rFonts w:ascii="David" w:hAnsi="David"/>
          <w:b/>
          <w:bCs/>
          <w:rtl/>
        </w:rPr>
        <w:t xml:space="preserve">עמדת הפרקליטות התקבלה ונכתב בה שאין לראות את השיפור במצבו במשך זמן ממושך מספיק וכי לאור המצב הביטחוני, לכן לא ניתן לערוך כעת ניסיונות להרחבת החופשות והם מתנגדים להמלצה. </w:t>
      </w:r>
    </w:p>
    <w:p w:rsidR="00BE79A2" w:rsidRDefault="00BE79A2" w:rsidP="00BE79A2">
      <w:pPr>
        <w:spacing w:line="360" w:lineRule="auto"/>
        <w:jc w:val="both"/>
        <w:rPr>
          <w:rFonts w:ascii="David" w:hAnsi="David"/>
          <w:b/>
          <w:bCs/>
          <w:rtl/>
        </w:rPr>
      </w:pPr>
      <w:r>
        <w:rPr>
          <w:rFonts w:ascii="David" w:hAnsi="David"/>
          <w:b/>
          <w:bCs/>
          <w:rtl/>
        </w:rPr>
        <w:t xml:space="preserve">בהתאם לממצאי הבדיקה והמלצת המחלקה, הועדה נעתרת והחלטתה בהתאם." </w:t>
      </w:r>
    </w:p>
    <w:p w:rsidR="00BE79A2" w:rsidRDefault="00BE79A2" w:rsidP="00BE79A2">
      <w:pPr>
        <w:pStyle w:val="ad"/>
        <w:spacing w:after="0" w:line="360" w:lineRule="auto"/>
        <w:ind w:left="-58" w:right="-142"/>
        <w:jc w:val="both"/>
        <w:rPr>
          <w:rFonts w:ascii="David" w:hAnsi="David" w:cs="David"/>
          <w:sz w:val="24"/>
          <w:szCs w:val="24"/>
          <w:rtl/>
        </w:rPr>
      </w:pPr>
    </w:p>
    <w:p w:rsidR="00BE79A2" w:rsidRDefault="00BE79A2" w:rsidP="00BE79A2">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סעיף 28ג(ג) לחוק מורה כי </w:t>
      </w:r>
      <w:r>
        <w:rPr>
          <w:rFonts w:ascii="David" w:hAnsi="David" w:cs="David"/>
          <w:b/>
          <w:bCs/>
          <w:sz w:val="24"/>
          <w:szCs w:val="24"/>
          <w:rtl/>
        </w:rPr>
        <w:t>"ועדה מיוחדת תאשר לחולה חופשה לפי סעיף זה, רק אם סברה כי חל שינוי יסודי, בסיסי ורציף, לאורך זמן, במצבו הנפשי של החולה, וכי יש בו - בשים לב לתנאי השחרור והפיקוח - כדי לשלול ברמת ודאות גבוהה את מסוכנותו של הנאשם לשלום הציבור, לאנשים מסוימים או לעצמו."</w:t>
      </w:r>
      <w:r>
        <w:rPr>
          <w:rFonts w:ascii="David" w:hAnsi="David" w:cs="David"/>
          <w:sz w:val="24"/>
          <w:szCs w:val="24"/>
          <w:rtl/>
        </w:rPr>
        <w:t>. סעיף 28ג(ג) אינו חל על עניינו של המערער, שכן סעיף זה מתייחס לסמכויותיה של וועדה מיוחדת, היא וועדה המוסמכת במקום הוועדה הפסיכיאטרית בעניינו של מי שהואשם בעבירה על סעיפים 300 או 305 לחוק העונשין, התשל"ז-1977, והוטל עליו צו לפי סעיף 15.</w:t>
      </w:r>
    </w:p>
    <w:p w:rsidR="00BE79A2" w:rsidRDefault="00BE79A2" w:rsidP="00BE79A2">
      <w:pPr>
        <w:pStyle w:val="ad"/>
        <w:spacing w:after="0" w:line="360" w:lineRule="auto"/>
        <w:ind w:left="-58" w:right="-142"/>
        <w:jc w:val="both"/>
        <w:rPr>
          <w:rFonts w:ascii="David" w:hAnsi="David" w:cs="David"/>
          <w:sz w:val="24"/>
          <w:szCs w:val="24"/>
        </w:rPr>
      </w:pPr>
    </w:p>
    <w:p w:rsidR="00BE79A2" w:rsidRDefault="00BE79A2" w:rsidP="00BE79A2">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על אף האמור, עיקרון סעיף 28ג(ג) לחוק יפה גם לעניינו של המערער, כדלקמן:</w:t>
      </w:r>
    </w:p>
    <w:p w:rsidR="00BE79A2" w:rsidRDefault="00BE79A2" w:rsidP="00BE79A2">
      <w:pPr>
        <w:pStyle w:val="ad"/>
        <w:spacing w:after="0" w:line="360" w:lineRule="auto"/>
        <w:ind w:left="-58" w:right="-142"/>
        <w:jc w:val="both"/>
        <w:rPr>
          <w:rFonts w:ascii="David" w:hAnsi="David" w:cs="David"/>
          <w:b/>
          <w:bCs/>
          <w:sz w:val="24"/>
          <w:szCs w:val="24"/>
        </w:rPr>
      </w:pPr>
    </w:p>
    <w:p w:rsidR="00BE79A2" w:rsidRDefault="00BE79A2" w:rsidP="00BE79A2">
      <w:pPr>
        <w:pStyle w:val="ad"/>
        <w:spacing w:after="0" w:line="360" w:lineRule="auto"/>
        <w:ind w:left="-58" w:right="-142"/>
        <w:jc w:val="both"/>
        <w:rPr>
          <w:rFonts w:ascii="David" w:hAnsi="David" w:cs="David"/>
          <w:sz w:val="24"/>
          <w:szCs w:val="24"/>
          <w:rtl/>
        </w:rPr>
      </w:pPr>
      <w:r>
        <w:rPr>
          <w:rFonts w:ascii="David" w:hAnsi="David" w:cs="David"/>
          <w:b/>
          <w:bCs/>
          <w:sz w:val="24"/>
          <w:szCs w:val="24"/>
          <w:rtl/>
        </w:rPr>
        <w:t xml:space="preserve">"העיקרון הכתוב בס' 28ג(ג) של החוק, כוחו יפה גם לגבי חולה רגיל, אך בשינויים ובהתאמות הדרושים. ניתן איפה לנסח פרפראזה המתייחסת לסעיף האמור, אשר תאמר כי "הוועדה הפסיכיאטרית הרגילה תאשר לחולה (שלא ביצע מעשה רצח ושלא ניסה לרצוח) חופשה, רק אם </w:t>
      </w:r>
      <w:r>
        <w:rPr>
          <w:rFonts w:ascii="David" w:hAnsi="David" w:cs="David"/>
          <w:b/>
          <w:bCs/>
          <w:sz w:val="24"/>
          <w:szCs w:val="24"/>
          <w:rtl/>
        </w:rPr>
        <w:lastRenderedPageBreak/>
        <w:t>סברה כי חל בו, לאורך זמן מספיק, אותו שינוי מיטיב במצב הנפשי אשר יש בו, בשים לב לתנאי השחרור והפיקוח, כדי לשלול ברמת וודאות נאותה, את מסוכנותו של אותו חולה לשלום הציבור, לאנשים מסוימים או לעצמו. [...] עולה אם כן השאלה, כיצד יימדד אותו "אורך זמן" מספיק או סביר או נדרש, שיש לבחון לאורך תקופת הימשכותו, את מצבו של החולה, על מנת לאפשר לוועדה להגיע למסקנה מושכלת אם ניתן להוציאו, נוכח תמונת מצבו הכוללת, לחופשה, בלא לסכן את הציבור, או מי מבין הציבור, סיכון שאין זה ראוי להעמיד לפתחם. [...] אורך התקופה ייגזר על כן על פי היותו מספק, כדי להביא בפני הוועדה נתונים ומסכת דברים כזו, שאינה רגעית, אלא בעלת עומק, יציבה ומתמשכת, המאשרת את שלילת המסוכנות שבחולה, במידה מספקת ומבוססת, כנדרש</w:t>
      </w:r>
      <w:r>
        <w:rPr>
          <w:rFonts w:ascii="David" w:hAnsi="David" w:cs="David"/>
          <w:b/>
          <w:bCs/>
          <w:sz w:val="24"/>
          <w:szCs w:val="24"/>
        </w:rPr>
        <w:t>.</w:t>
      </w:r>
      <w:r>
        <w:rPr>
          <w:rFonts w:ascii="David" w:hAnsi="David" w:cs="David"/>
          <w:b/>
          <w:bCs/>
          <w:sz w:val="24"/>
          <w:szCs w:val="24"/>
          <w:rtl/>
        </w:rPr>
        <w:t xml:space="preserve">  </w:t>
      </w:r>
      <w:r>
        <w:rPr>
          <w:rFonts w:ascii="David" w:hAnsi="David" w:cs="David"/>
          <w:sz w:val="24"/>
          <w:szCs w:val="24"/>
          <w:rtl/>
        </w:rPr>
        <w:t xml:space="preserve">(עיינו דברי כבוד השופט ש' ברלינר, ע"ו (מחוזי חיפה) 21852-01-20 </w:t>
      </w:r>
      <w:r>
        <w:rPr>
          <w:rFonts w:ascii="David" w:hAnsi="David" w:cs="David"/>
          <w:b/>
          <w:bCs/>
          <w:sz w:val="24"/>
          <w:szCs w:val="24"/>
          <w:rtl/>
        </w:rPr>
        <w:t>היועץ המשפטי לממשלה נ' פלוני</w:t>
      </w:r>
      <w:r>
        <w:rPr>
          <w:rFonts w:ascii="David" w:hAnsi="David" w:cs="David"/>
          <w:sz w:val="24"/>
          <w:szCs w:val="24"/>
          <w:rtl/>
        </w:rPr>
        <w:t xml:space="preserve"> (נבו 13.02.2020)</w:t>
      </w:r>
      <w:r>
        <w:rPr>
          <w:rFonts w:ascii="David" w:hAnsi="David" w:cs="David"/>
          <w:b/>
          <w:bCs/>
          <w:sz w:val="24"/>
          <w:szCs w:val="24"/>
          <w:rtl/>
        </w:rPr>
        <w:t>.</w:t>
      </w:r>
    </w:p>
    <w:p w:rsidR="00BE79A2" w:rsidRDefault="00BE79A2" w:rsidP="00BE79A2">
      <w:pPr>
        <w:spacing w:line="360" w:lineRule="auto"/>
        <w:ind w:right="-142"/>
        <w:jc w:val="both"/>
        <w:rPr>
          <w:rFonts w:ascii="David" w:hAnsi="David"/>
          <w:rtl/>
        </w:rPr>
      </w:pPr>
    </w:p>
    <w:p w:rsidR="00BE79A2" w:rsidRDefault="00BE79A2" w:rsidP="00BE79A2">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כידוע, חולה המאושפז בבית החולים מכוחו של צו אשפוז, אינו זכאי לצאת לחופשה כל עוד לא אישרה זאת הוועדה הפסיכיאטרית. אישור זה יכול שיינתן אך ורק בתנאי שזו תשתכנע כי אין בכך כדי לסכן את שלומו ובטחונו של הציבור מעבר למידה מינימלית בה ניתן לשאת בהתחשב תנאי הפיקוח וההשגחה בחופשה ובשיקולים נוספים ככתוב בחוק. על המשיב לעמוד בתנאי הסף בדבר יציבות והטבה ממושכים במצבו הנפשי שעל בסיסם תסיק הוועדה הפסיכיאטרית כי הושגה רמת וודאות גבוהה שלא תארע תקלה בעת יצא לחופשה בהתחשב בתנאיה. הדגש מושם על הצורך לשמור על שלום הציבור או מי מבין הציבור (עיינו דברי כבוד השופט ש' ברלינר, ע"ו (מחוזי חיפה) 17640-06-19 </w:t>
      </w:r>
      <w:r>
        <w:rPr>
          <w:rFonts w:ascii="David" w:hAnsi="David" w:cs="David"/>
          <w:b/>
          <w:bCs/>
          <w:sz w:val="24"/>
          <w:szCs w:val="24"/>
          <w:rtl/>
        </w:rPr>
        <w:t>פלוני - נפגע העבירה נ' אלמוני</w:t>
      </w:r>
      <w:r>
        <w:rPr>
          <w:rFonts w:ascii="David" w:hAnsi="David" w:cs="David"/>
          <w:sz w:val="24"/>
          <w:szCs w:val="24"/>
          <w:rtl/>
        </w:rPr>
        <w:t xml:space="preserve"> (נבו 30.07.2019)).</w:t>
      </w:r>
    </w:p>
    <w:p w:rsidR="00BE79A2" w:rsidRDefault="00BE79A2" w:rsidP="00BE79A2">
      <w:pPr>
        <w:pStyle w:val="ad"/>
        <w:ind w:left="-483"/>
        <w:rPr>
          <w:rFonts w:ascii="David" w:hAnsi="David" w:cs="David"/>
          <w:b/>
          <w:bCs/>
          <w:sz w:val="24"/>
          <w:szCs w:val="24"/>
        </w:rPr>
      </w:pPr>
    </w:p>
    <w:p w:rsidR="00BE79A2" w:rsidRDefault="00BE79A2" w:rsidP="00BE79A2">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החלטת הוועדה הפסיכיאטרית הינה החלטה שבשיקול דעת, רפואית ביסודה, של גוף מקצועי הנושא באחריות רבה, בין היתר לאור הרכב מותבו. בהחלטה כמעין החלטה זו אין בית המשפט מתערב אלא במקרים חריגים, כגון אם נפל פגם חמור בהליך קבלת הממצא הרפואי או בהכרעה הרפואית שניתנה על ידי הוועדה, כגון שההחלטה התקבלה תוך סטייה ברורה וקיצונית ממתחם הסבירות, כגון מצב בו כללי הצדק הטבעי נפגעו, כאשר ההליך היה בלתי תקין, כאשר ההחלטה אינה משתלבת עם התמונה הכללית המתגבשת לגבי אותו חולה וכיו"ב (עיינו החלטתי בע"ו (מחוזי חיפה) 39469-01-22 </w:t>
      </w:r>
      <w:r>
        <w:rPr>
          <w:rFonts w:ascii="David" w:hAnsi="David" w:cs="David"/>
          <w:b/>
          <w:bCs/>
          <w:sz w:val="24"/>
          <w:szCs w:val="24"/>
          <w:rtl/>
        </w:rPr>
        <w:t>א' ה' נ' מרכז בריאות הנפש מזרע (מזור)</w:t>
      </w:r>
      <w:r>
        <w:rPr>
          <w:rFonts w:ascii="David" w:hAnsi="David" w:cs="David"/>
          <w:sz w:val="24"/>
          <w:szCs w:val="24"/>
          <w:rtl/>
        </w:rPr>
        <w:t> (נבו 06.02.2022)‏‏).</w:t>
      </w:r>
    </w:p>
    <w:p w:rsidR="00BE79A2" w:rsidRDefault="00BE79A2" w:rsidP="00BE79A2">
      <w:pPr>
        <w:pStyle w:val="ad"/>
        <w:spacing w:after="0" w:line="360" w:lineRule="auto"/>
        <w:ind w:left="-58" w:right="-142"/>
        <w:jc w:val="both"/>
        <w:rPr>
          <w:rFonts w:ascii="David" w:hAnsi="David" w:cs="David"/>
          <w:sz w:val="24"/>
          <w:szCs w:val="24"/>
        </w:rPr>
      </w:pPr>
    </w:p>
    <w:p w:rsidR="00BE79A2" w:rsidRDefault="00BE79A2" w:rsidP="00BE79A2">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לצורך בחינת החלטת הוועדה הפסיכיאטרית יש לבחון את התמונה הכללית בעניינו של המשיב, ממנה ניתן יהיה להסיק האם נפל פגם חמור בהכרעה הרפואית שהתקבלה, ולכך אפנה עתה.</w:t>
      </w:r>
    </w:p>
    <w:p w:rsidR="00BE79A2" w:rsidRDefault="00BE79A2" w:rsidP="00BE79A2">
      <w:pPr>
        <w:pStyle w:val="ad"/>
        <w:spacing w:after="0" w:line="360" w:lineRule="auto"/>
        <w:ind w:left="-58" w:right="-142"/>
        <w:jc w:val="both"/>
        <w:rPr>
          <w:rFonts w:ascii="David" w:hAnsi="David" w:cs="David"/>
          <w:sz w:val="24"/>
          <w:szCs w:val="24"/>
          <w:rtl/>
        </w:rPr>
      </w:pPr>
    </w:p>
    <w:p w:rsidR="00BE79A2" w:rsidRDefault="00BE79A2" w:rsidP="00BE79A2">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באשר למשיב ויציאתו לחופשות, נלמד כי בימים 06.06.2021 ו-15.8.2021 התכנסה הוועדה הפסיכיאטרית לדון בהמלצת בית החולים לאפשר למשיב לצאת לחופשות, והחליטה שלא לאפשר למערער יציאה לחופשות כלל. </w:t>
      </w:r>
    </w:p>
    <w:p w:rsidR="00BE79A2" w:rsidRDefault="00BE79A2" w:rsidP="00BE79A2">
      <w:pPr>
        <w:pStyle w:val="ad"/>
        <w:spacing w:after="0" w:line="360" w:lineRule="auto"/>
        <w:ind w:left="-58" w:right="-142"/>
        <w:jc w:val="both"/>
        <w:rPr>
          <w:rFonts w:ascii="David" w:hAnsi="David" w:cs="David"/>
          <w:sz w:val="24"/>
          <w:szCs w:val="24"/>
        </w:rPr>
      </w:pPr>
    </w:p>
    <w:p w:rsidR="00BE79A2" w:rsidRDefault="00BE79A2" w:rsidP="00BE79A2">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lastRenderedPageBreak/>
        <w:t xml:space="preserve">ביום 16.01.2022 החליטה הוועדה הפסיכיאטרית לאפשר למשיב לצאת לחופשות של עד 4 שעות בליווי. </w:t>
      </w:r>
      <w:r>
        <w:rPr>
          <w:rFonts w:ascii="David" w:hAnsi="David" w:cs="David"/>
          <w:b/>
          <w:bCs/>
          <w:sz w:val="24"/>
          <w:szCs w:val="24"/>
          <w:rtl/>
        </w:rPr>
        <w:t>מסוכנותו העצמית ולאחרים הוערכה ברמה נמוכה.</w:t>
      </w:r>
    </w:p>
    <w:p w:rsidR="00BE79A2" w:rsidRDefault="00BE79A2" w:rsidP="00BE79A2">
      <w:pPr>
        <w:pStyle w:val="ad"/>
        <w:rPr>
          <w:rFonts w:ascii="Arial" w:hAnsi="Arial"/>
        </w:rPr>
      </w:pPr>
    </w:p>
    <w:p w:rsidR="00BE79A2" w:rsidRDefault="00BE79A2" w:rsidP="00BE79A2">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ביום 10.04.2022 החליטה הוועדה הפסיכיאטרית להרחיב את משך חופשותיו של המשיב ל-12 שעות, בליווי. </w:t>
      </w:r>
      <w:r>
        <w:rPr>
          <w:rFonts w:ascii="David" w:hAnsi="David" w:cs="David"/>
          <w:b/>
          <w:bCs/>
          <w:sz w:val="24"/>
          <w:szCs w:val="24"/>
          <w:rtl/>
        </w:rPr>
        <w:t>מסוכנותו העצמית ולאחרים הוערכה גם אז - ברמה נמוכה.</w:t>
      </w:r>
    </w:p>
    <w:p w:rsidR="00BE79A2" w:rsidRDefault="00BE79A2" w:rsidP="00BE79A2">
      <w:pPr>
        <w:pStyle w:val="ad"/>
        <w:rPr>
          <w:rFonts w:ascii="Arial" w:hAnsi="Arial"/>
        </w:rPr>
      </w:pPr>
    </w:p>
    <w:p w:rsidR="00BE79A2" w:rsidRDefault="00BE79A2" w:rsidP="00BE79A2">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ביום 19.06.2022 החליטה הוועדה הפסיכיאטרית להרחיב את משך חופשותיו של המשיב ל-24 שעות, בליווי. </w:t>
      </w:r>
      <w:r>
        <w:rPr>
          <w:rFonts w:ascii="David" w:hAnsi="David" w:cs="David"/>
          <w:b/>
          <w:bCs/>
          <w:sz w:val="24"/>
          <w:szCs w:val="24"/>
          <w:rtl/>
        </w:rPr>
        <w:t>מסוכנותו העצמית ולאחרים הוערכה גם אז - ברמה נמוכה.</w:t>
      </w:r>
    </w:p>
    <w:p w:rsidR="00BE79A2" w:rsidRDefault="00BE79A2" w:rsidP="00BE79A2">
      <w:pPr>
        <w:pStyle w:val="ad"/>
        <w:rPr>
          <w:rFonts w:ascii="Arial" w:hAnsi="Arial"/>
        </w:rPr>
      </w:pPr>
    </w:p>
    <w:p w:rsidR="00BE79A2" w:rsidRDefault="00BE79A2" w:rsidP="00BE79A2">
      <w:pPr>
        <w:pStyle w:val="ad"/>
        <w:numPr>
          <w:ilvl w:val="0"/>
          <w:numId w:val="1"/>
        </w:numPr>
        <w:spacing w:after="0" w:line="360" w:lineRule="auto"/>
        <w:ind w:left="-58" w:right="-142"/>
        <w:jc w:val="both"/>
        <w:rPr>
          <w:rFonts w:ascii="David" w:hAnsi="David" w:cs="David"/>
          <w:b/>
          <w:bCs/>
          <w:sz w:val="24"/>
          <w:szCs w:val="24"/>
          <w:rtl/>
        </w:rPr>
      </w:pPr>
      <w:r>
        <w:rPr>
          <w:rFonts w:ascii="David" w:hAnsi="David" w:cs="David"/>
          <w:sz w:val="24"/>
          <w:szCs w:val="24"/>
          <w:rtl/>
        </w:rPr>
        <w:t xml:space="preserve">ביום 25.12.2022 החליטה הוועדה הפסיכיאטרית להותיר הסטטוס על כנו, ודחתה את המלצת בית החולים לאשר חופשות של עד 48 שעות בליווי. </w:t>
      </w:r>
      <w:r>
        <w:rPr>
          <w:rFonts w:ascii="David" w:hAnsi="David" w:cs="David"/>
          <w:b/>
          <w:bCs/>
          <w:sz w:val="24"/>
          <w:szCs w:val="24"/>
          <w:rtl/>
        </w:rPr>
        <w:t>מסוכנותו העצמית ולאחרים הוערכה גם אז - ברמה נמוכה.</w:t>
      </w:r>
    </w:p>
    <w:p w:rsidR="00BE79A2" w:rsidRDefault="00BE79A2" w:rsidP="00BE79A2">
      <w:pPr>
        <w:pStyle w:val="ad"/>
        <w:rPr>
          <w:rFonts w:ascii="Arial" w:hAnsi="Arial"/>
        </w:rPr>
      </w:pPr>
    </w:p>
    <w:p w:rsidR="00BE79A2" w:rsidRDefault="00BE79A2" w:rsidP="00BE79A2">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ביום 02.04.2023 החליטה הוועדה הפסיכיאטרית להרחיב את משך חופשותיו של המשיב ל-48 שעות, בליווי. </w:t>
      </w:r>
      <w:r>
        <w:rPr>
          <w:rFonts w:ascii="David" w:hAnsi="David" w:cs="David"/>
          <w:b/>
          <w:bCs/>
          <w:sz w:val="24"/>
          <w:szCs w:val="24"/>
          <w:rtl/>
        </w:rPr>
        <w:t>מסוכנותו העצמית ולאחרים הוערכה גם אז - ברמה נמוכה.</w:t>
      </w:r>
    </w:p>
    <w:p w:rsidR="00BE79A2" w:rsidRDefault="00BE79A2" w:rsidP="00BE79A2">
      <w:pPr>
        <w:pStyle w:val="ad"/>
        <w:rPr>
          <w:rFonts w:ascii="Arial" w:hAnsi="Arial"/>
        </w:rPr>
      </w:pPr>
    </w:p>
    <w:p w:rsidR="00BE79A2" w:rsidRDefault="00BE79A2" w:rsidP="00374B35">
      <w:pPr>
        <w:pStyle w:val="ad"/>
        <w:numPr>
          <w:ilvl w:val="0"/>
          <w:numId w:val="1"/>
        </w:numPr>
        <w:spacing w:after="0" w:line="360" w:lineRule="auto"/>
        <w:ind w:left="-58" w:right="-142"/>
        <w:jc w:val="both"/>
        <w:rPr>
          <w:rFonts w:ascii="David" w:hAnsi="David" w:cs="David"/>
          <w:b/>
          <w:bCs/>
          <w:sz w:val="24"/>
          <w:szCs w:val="24"/>
          <w:rtl/>
        </w:rPr>
      </w:pPr>
      <w:r>
        <w:rPr>
          <w:rFonts w:ascii="David" w:hAnsi="David" w:cs="David"/>
          <w:sz w:val="24"/>
          <w:szCs w:val="24"/>
          <w:rtl/>
        </w:rPr>
        <w:t>ביום 23.07.2023 התקיים דיון בוועדה בעניינו של המשיב. המלצת המחלקה הייתה לאפשר לו לצאת לחופשות של עד 48 שעות ללא ליווי. הוועדה לא קיבלה את המלצת בית המחלקה</w:t>
      </w:r>
      <w:r w:rsidR="00374B35">
        <w:rPr>
          <w:rFonts w:ascii="David" w:hAnsi="David" w:cs="David" w:hint="cs"/>
          <w:sz w:val="24"/>
          <w:szCs w:val="24"/>
          <w:rtl/>
        </w:rPr>
        <w:t>.</w:t>
      </w:r>
      <w:r w:rsidR="00374B35">
        <w:rPr>
          <w:rFonts w:ascii="David" w:hAnsi="David" w:cs="David"/>
          <w:sz w:val="24"/>
          <w:szCs w:val="24"/>
          <w:rtl/>
        </w:rPr>
        <w:t xml:space="preserve"> </w:t>
      </w:r>
      <w:r w:rsidR="00374B35">
        <w:rPr>
          <w:rFonts w:ascii="David" w:hAnsi="David" w:cs="David" w:hint="cs"/>
          <w:sz w:val="24"/>
          <w:szCs w:val="24"/>
          <w:rtl/>
        </w:rPr>
        <w:t>הוועדה הפסיכיאטרית החליטה</w:t>
      </w:r>
      <w:r>
        <w:rPr>
          <w:rFonts w:ascii="David" w:hAnsi="David" w:cs="David"/>
          <w:sz w:val="24"/>
          <w:szCs w:val="24"/>
          <w:rtl/>
        </w:rPr>
        <w:t xml:space="preserve"> על יציאה לחופשות של </w:t>
      </w:r>
      <w:r w:rsidRPr="00374B35">
        <w:rPr>
          <w:rFonts w:ascii="David" w:hAnsi="David" w:cs="David"/>
          <w:sz w:val="24"/>
          <w:szCs w:val="24"/>
          <w:u w:val="single"/>
          <w:rtl/>
        </w:rPr>
        <w:t>עד 48 שעות, בליווי, אחת לשבוע</w:t>
      </w:r>
      <w:r>
        <w:rPr>
          <w:rFonts w:ascii="David" w:hAnsi="David" w:cs="David"/>
          <w:sz w:val="24"/>
          <w:szCs w:val="24"/>
          <w:rtl/>
        </w:rPr>
        <w:t xml:space="preserve">. בנימוקי ההחלטה כתבה הוועדה הפסיכיאטרית כדלקמן: </w:t>
      </w:r>
      <w:r>
        <w:rPr>
          <w:rFonts w:ascii="David" w:hAnsi="David" w:cs="David"/>
          <w:b/>
          <w:bCs/>
          <w:sz w:val="24"/>
          <w:szCs w:val="24"/>
          <w:rtl/>
        </w:rPr>
        <w:t xml:space="preserve">"לאור ממצאי הבדיקה לדעת הוועדה טרם בשלו התנאים למתן חופשות ללא ליווי. המטופל מוכר שנים רבות, רצידיוויסט באשפוזיו, ורק חלפו שלושה חודשים מאז הועדה הקודמת, שאישרה חופשות עד 48 שעות בליווי, לאור חומרת העבירות וגם בהתחשב בעמדת הפרקליטות, הוועדה דוחה את הבקשה". </w:t>
      </w:r>
    </w:p>
    <w:p w:rsidR="00BE79A2" w:rsidRDefault="00BE79A2" w:rsidP="00BE79A2">
      <w:pPr>
        <w:pStyle w:val="ad"/>
        <w:spacing w:after="0" w:line="360" w:lineRule="auto"/>
        <w:ind w:left="-58" w:right="-142"/>
        <w:jc w:val="both"/>
        <w:rPr>
          <w:rFonts w:ascii="David" w:hAnsi="David" w:cs="David"/>
          <w:b/>
          <w:bCs/>
          <w:sz w:val="24"/>
          <w:szCs w:val="24"/>
        </w:rPr>
      </w:pPr>
    </w:p>
    <w:p w:rsidR="00BE79A2" w:rsidRDefault="00BE79A2" w:rsidP="00BE79A2">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יודגש כי על אף אי היעתרות לבקשה והותרת סטטוס החופשות על כנו, מסוכנותו העצמית ולאחרים הוערכה גם אז - ברמה נמוכה.</w:t>
      </w:r>
    </w:p>
    <w:p w:rsidR="00BE79A2" w:rsidRDefault="00BE79A2" w:rsidP="00BE79A2">
      <w:pPr>
        <w:pStyle w:val="ad"/>
        <w:rPr>
          <w:rFonts w:ascii="David" w:hAnsi="David" w:cs="David"/>
          <w:b/>
          <w:bCs/>
          <w:sz w:val="24"/>
          <w:szCs w:val="24"/>
        </w:rPr>
      </w:pPr>
    </w:p>
    <w:p w:rsidR="00BE79A2" w:rsidRDefault="00BE79A2" w:rsidP="00154F5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ביום 05.11.2023 שבה הוועדה הפסיכיאטר</w:t>
      </w:r>
      <w:r w:rsidR="00AD72A5">
        <w:rPr>
          <w:rFonts w:ascii="David" w:hAnsi="David" w:cs="David"/>
          <w:sz w:val="24"/>
          <w:szCs w:val="24"/>
          <w:rtl/>
        </w:rPr>
        <w:t>ית והתכנסה בעניינו של המשיב</w:t>
      </w:r>
      <w:r w:rsidR="00AD72A5">
        <w:rPr>
          <w:rFonts w:ascii="David" w:hAnsi="David" w:cs="David" w:hint="cs"/>
          <w:sz w:val="24"/>
          <w:szCs w:val="24"/>
          <w:rtl/>
        </w:rPr>
        <w:t xml:space="preserve">. </w:t>
      </w:r>
      <w:r>
        <w:rPr>
          <w:rFonts w:ascii="David" w:hAnsi="David" w:cs="David"/>
          <w:sz w:val="24"/>
          <w:szCs w:val="24"/>
          <w:rtl/>
        </w:rPr>
        <w:t xml:space="preserve">המלצת בית החולים </w:t>
      </w:r>
      <w:r w:rsidR="00AD72A5">
        <w:rPr>
          <w:rFonts w:ascii="David" w:hAnsi="David" w:cs="David" w:hint="cs"/>
          <w:sz w:val="24"/>
          <w:szCs w:val="24"/>
          <w:rtl/>
        </w:rPr>
        <w:t xml:space="preserve">הייתה </w:t>
      </w:r>
      <w:r w:rsidR="00AD72A5">
        <w:rPr>
          <w:rFonts w:ascii="David" w:hAnsi="David" w:cs="David"/>
          <w:sz w:val="24"/>
          <w:szCs w:val="24"/>
          <w:rtl/>
        </w:rPr>
        <w:t>לאפשר ל</w:t>
      </w:r>
      <w:r w:rsidR="00AD72A5">
        <w:rPr>
          <w:rFonts w:ascii="David" w:hAnsi="David" w:cs="David" w:hint="cs"/>
          <w:sz w:val="24"/>
          <w:szCs w:val="24"/>
          <w:rtl/>
        </w:rPr>
        <w:t xml:space="preserve">משיב </w:t>
      </w:r>
      <w:r>
        <w:rPr>
          <w:rFonts w:ascii="David" w:hAnsi="David" w:cs="David"/>
          <w:sz w:val="24"/>
          <w:szCs w:val="24"/>
          <w:rtl/>
        </w:rPr>
        <w:t xml:space="preserve">יציאה לחופשות עד 72 שעות ללא ליווי. ב"כ היועמ"ש התנגד להמלצת בית החולים </w:t>
      </w:r>
      <w:r w:rsidR="00AD72A5">
        <w:rPr>
          <w:rFonts w:ascii="David" w:hAnsi="David" w:cs="David" w:hint="cs"/>
          <w:sz w:val="24"/>
          <w:szCs w:val="24"/>
          <w:rtl/>
        </w:rPr>
        <w:t>וטענותיו היו כפי טענותיו היום בערעור. היינו</w:t>
      </w:r>
      <w:r w:rsidR="00154F51">
        <w:rPr>
          <w:rFonts w:ascii="David" w:hAnsi="David" w:cs="David" w:hint="cs"/>
          <w:sz w:val="24"/>
          <w:szCs w:val="24"/>
          <w:rtl/>
        </w:rPr>
        <w:t>, כי המשיב</w:t>
      </w:r>
      <w:r w:rsidR="00154F51">
        <w:rPr>
          <w:rFonts w:ascii="David" w:hAnsi="David" w:cs="David"/>
          <w:sz w:val="24"/>
          <w:szCs w:val="24"/>
          <w:rtl/>
        </w:rPr>
        <w:t xml:space="preserve"> הגם </w:t>
      </w:r>
      <w:r w:rsidR="00154F51">
        <w:rPr>
          <w:rFonts w:ascii="David" w:hAnsi="David" w:cs="David" w:hint="cs"/>
          <w:sz w:val="24"/>
          <w:szCs w:val="24"/>
          <w:rtl/>
        </w:rPr>
        <w:t>שמצוי הוא</w:t>
      </w:r>
      <w:r>
        <w:rPr>
          <w:rFonts w:ascii="David" w:hAnsi="David" w:cs="David"/>
          <w:sz w:val="24"/>
          <w:szCs w:val="24"/>
          <w:rtl/>
        </w:rPr>
        <w:t xml:space="preserve"> ברמיסיה, אין מדובר בפרק זמן ממושך כדרישת הפסיקה. עוד טען כי לא ברור כיצד הגיע בית החולים למסקנה שיש לאפשר למשיב חופשות של עד 72 שעות כשהמלצתם לוועדה הפסיכיאטרית הקודמת הייתה לחופשות בנות 48 שעות בלבד, וגם זו נדחתה. עוד טען כי יש לתת את הדעת גם למצב הביטחוני השורר בארץ, ולהשפעתו האפשרית על מצבו הנפשי של המשיב. הוועדה הפסיכיאטרית קיבלה החלטתה כאמור לעיל, היא מושא הערעור לפניי.</w:t>
      </w:r>
    </w:p>
    <w:p w:rsidR="00BE79A2" w:rsidRDefault="00BE79A2" w:rsidP="00BE79A2">
      <w:pPr>
        <w:pStyle w:val="ad"/>
        <w:spacing w:after="0" w:line="360" w:lineRule="auto"/>
        <w:ind w:left="-58" w:right="-142"/>
        <w:jc w:val="both"/>
        <w:rPr>
          <w:rFonts w:ascii="David" w:hAnsi="David" w:cs="David"/>
          <w:sz w:val="24"/>
          <w:szCs w:val="24"/>
          <w:rtl/>
        </w:rPr>
      </w:pPr>
    </w:p>
    <w:p w:rsidR="00BE79A2" w:rsidRDefault="00BE79A2" w:rsidP="00BE79A2">
      <w:pPr>
        <w:pStyle w:val="ad"/>
        <w:numPr>
          <w:ilvl w:val="0"/>
          <w:numId w:val="1"/>
        </w:numPr>
        <w:spacing w:after="0" w:line="360" w:lineRule="auto"/>
        <w:ind w:left="-58" w:right="-142"/>
        <w:jc w:val="both"/>
        <w:rPr>
          <w:rFonts w:ascii="David" w:hAnsi="David" w:cs="David"/>
          <w:b/>
          <w:bCs/>
          <w:sz w:val="24"/>
          <w:szCs w:val="24"/>
          <w:rtl/>
        </w:rPr>
      </w:pPr>
      <w:r>
        <w:rPr>
          <w:rFonts w:ascii="David" w:hAnsi="David" w:cs="David"/>
          <w:sz w:val="24"/>
          <w:szCs w:val="24"/>
          <w:rtl/>
        </w:rPr>
        <w:lastRenderedPageBreak/>
        <w:t xml:space="preserve">ממצאי בדיקת המערער בפני הוועדה הפסיכיאטרית היו כדלקמן: </w:t>
      </w:r>
      <w:r>
        <w:rPr>
          <w:rFonts w:ascii="David" w:hAnsi="David" w:cs="David"/>
          <w:b/>
          <w:bCs/>
          <w:sz w:val="24"/>
          <w:szCs w:val="24"/>
          <w:rtl/>
        </w:rPr>
        <w:t xml:space="preserve">"המטופל מוסר שחש בטוב. אין עדות במהלך הבדיקה לתכנים פסיכוטים פעילים. מוסר שבנו ובתו לא יכולים כיום ללוות אותו בחופשות. מבקש לצאת לחופשות ללא ליווי." </w:t>
      </w:r>
    </w:p>
    <w:p w:rsidR="00BE79A2" w:rsidRDefault="00BE79A2" w:rsidP="00BE79A2">
      <w:pPr>
        <w:pStyle w:val="ad"/>
        <w:spacing w:after="0" w:line="360" w:lineRule="auto"/>
        <w:ind w:left="-58" w:right="-142"/>
        <w:jc w:val="both"/>
        <w:rPr>
          <w:rFonts w:ascii="David" w:hAnsi="David" w:cs="David"/>
          <w:sz w:val="24"/>
          <w:szCs w:val="24"/>
        </w:rPr>
      </w:pPr>
    </w:p>
    <w:p w:rsidR="00BE79A2" w:rsidRDefault="00BE79A2" w:rsidP="00BE79A2">
      <w:pPr>
        <w:pStyle w:val="ad"/>
        <w:numPr>
          <w:ilvl w:val="0"/>
          <w:numId w:val="1"/>
        </w:numPr>
        <w:spacing w:after="0" w:line="360" w:lineRule="auto"/>
        <w:ind w:left="-58" w:right="-142"/>
        <w:jc w:val="both"/>
        <w:rPr>
          <w:rFonts w:ascii="David" w:hAnsi="David" w:cs="David"/>
          <w:b/>
          <w:bCs/>
          <w:sz w:val="24"/>
          <w:szCs w:val="24"/>
        </w:rPr>
      </w:pPr>
      <w:r>
        <w:rPr>
          <w:rFonts w:ascii="David" w:hAnsi="David" w:cs="David"/>
          <w:sz w:val="24"/>
          <w:szCs w:val="24"/>
          <w:rtl/>
        </w:rPr>
        <w:t xml:space="preserve">בבקשת בית החולים נכתב: </w:t>
      </w:r>
      <w:r>
        <w:rPr>
          <w:rFonts w:ascii="David" w:hAnsi="David" w:cs="David"/>
          <w:b/>
          <w:bCs/>
          <w:sz w:val="24"/>
          <w:szCs w:val="24"/>
          <w:rtl/>
        </w:rPr>
        <w:t xml:space="preserve">"[...] עם טיפול תרופתי חל שיפור משמעותי במצבו הנפשי שולל שימוש בסמים ולא נראה תחת השפעת חומרים פסיכואקטיביים יוצא לחופשות בליווי ללא חריג . כעת ללא עדות למצב פסיכוטי פעיל, לא אובדני, ללא כוונות לפגוע בזולת משתף פעולה עם תכנית טיפול. יוצא לחופשות עד 48 שעות בליווי ללא אירועים חריגים אנו פונים בבקשה חוזרת לאשר חופשות עד 72 שעות ללא ליווי." </w:t>
      </w:r>
    </w:p>
    <w:p w:rsidR="00BE79A2" w:rsidRDefault="00BE79A2" w:rsidP="00BE79A2">
      <w:pPr>
        <w:pStyle w:val="ad"/>
        <w:spacing w:after="0" w:line="360" w:lineRule="auto"/>
        <w:ind w:left="-58" w:right="-142"/>
        <w:jc w:val="both"/>
        <w:rPr>
          <w:rFonts w:ascii="Arial" w:hAnsi="Arial"/>
          <w:rtl/>
        </w:rPr>
      </w:pPr>
    </w:p>
    <w:p w:rsidR="00BE79A2" w:rsidRDefault="00BE79A2" w:rsidP="00BE79A2">
      <w:pPr>
        <w:pStyle w:val="ad"/>
        <w:numPr>
          <w:ilvl w:val="0"/>
          <w:numId w:val="1"/>
        </w:numPr>
        <w:spacing w:after="0" w:line="360" w:lineRule="auto"/>
        <w:ind w:left="-58" w:right="-142"/>
        <w:jc w:val="both"/>
        <w:rPr>
          <w:rFonts w:ascii="Arial" w:hAnsi="Arial"/>
          <w:b/>
          <w:bCs/>
        </w:rPr>
      </w:pPr>
      <w:r>
        <w:rPr>
          <w:rFonts w:ascii="David" w:hAnsi="David" w:cs="David"/>
          <w:b/>
          <w:bCs/>
          <w:sz w:val="24"/>
          <w:szCs w:val="24"/>
          <w:rtl/>
        </w:rPr>
        <w:t>מסוכנותו העצמית ולאחרים הוערכה שוב פעם - ברמה נמוכה.</w:t>
      </w:r>
      <w:r w:rsidR="00E90302">
        <w:rPr>
          <w:rFonts w:ascii="Arial" w:hAnsi="Arial" w:hint="cs"/>
          <w:b/>
          <w:bCs/>
          <w:rtl/>
        </w:rPr>
        <w:t xml:space="preserve"> </w:t>
      </w:r>
    </w:p>
    <w:p w:rsidR="00E90302" w:rsidRPr="00E90302" w:rsidRDefault="00E90302" w:rsidP="00E90302">
      <w:pPr>
        <w:pStyle w:val="ad"/>
        <w:rPr>
          <w:rFonts w:ascii="Arial" w:hAnsi="Arial"/>
          <w:b/>
          <w:bCs/>
          <w:rtl/>
        </w:rPr>
      </w:pPr>
    </w:p>
    <w:p w:rsidR="00BE79A2" w:rsidRDefault="00BE79A2" w:rsidP="00BE79A2">
      <w:pPr>
        <w:pStyle w:val="ad"/>
        <w:numPr>
          <w:ilvl w:val="0"/>
          <w:numId w:val="1"/>
        </w:numPr>
        <w:spacing w:after="0" w:line="360" w:lineRule="auto"/>
        <w:ind w:left="-58" w:right="-142"/>
        <w:jc w:val="both"/>
        <w:rPr>
          <w:rFonts w:ascii="David" w:hAnsi="David" w:cs="David"/>
          <w:b/>
          <w:bCs/>
          <w:sz w:val="24"/>
          <w:szCs w:val="24"/>
          <w:rtl/>
        </w:rPr>
      </w:pPr>
      <w:r>
        <w:rPr>
          <w:rFonts w:ascii="David" w:hAnsi="David" w:cs="David"/>
          <w:sz w:val="24"/>
          <w:szCs w:val="24"/>
          <w:rtl/>
        </w:rPr>
        <w:t xml:space="preserve">כאמור לעיל, המשיב נושא עמו עבר חיובי של יציאה לחופשות משך שנתיים, "עקב בצד אגודל", שהחלו מ-4 שעות בליווי, והתפתחו אט אט ל-12 שעות בליווי, 24 שעות בליווי, 48 שעות בליווי. משך שנתיים אלה מסוכנותו לעצמו ואחרים הוערכה ברמה נמוכה, ואכן מבחן המציאות מלמד כי חופשות אלה כולם התבצעו בהצלחה ובהיעדר אירועים חריגים. בית החולים העריך כי חל שיפור משמעותי במצבו הנפשי של המשיב, שאין עדויות למצבים פסיכוטיים פעילים מצדו, לרבות סימני אובדנות, כוונות לפגוע באחרים וכן כי המשיב משתף פעולה עם תכנית הטיפול. סבורני כי שנתיים אלה הינן בגדר תקופה זמן מספקת שיש בה כדי להוות עדות שאינה רגעית, בעלת עומק ויציבות מתמשכת, המאשרת את שלילת מסוכנות של המשיב במידה מספקת ומבוססת. </w:t>
      </w:r>
    </w:p>
    <w:p w:rsidR="00BE79A2" w:rsidRDefault="00BE79A2" w:rsidP="00BE79A2">
      <w:pPr>
        <w:spacing w:line="360" w:lineRule="auto"/>
        <w:ind w:right="-142"/>
        <w:jc w:val="both"/>
        <w:rPr>
          <w:rFonts w:ascii="David" w:hAnsi="David"/>
        </w:rPr>
      </w:pPr>
    </w:p>
    <w:p w:rsidR="0011159C" w:rsidRDefault="00154F51" w:rsidP="0011159C">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אכן אנו נמצאים כיום במצב ח</w:t>
      </w:r>
      <w:r w:rsidR="002316E7">
        <w:rPr>
          <w:rFonts w:ascii="David" w:hAnsi="David" w:cs="David" w:hint="cs"/>
          <w:sz w:val="24"/>
          <w:szCs w:val="24"/>
          <w:rtl/>
        </w:rPr>
        <w:t>י</w:t>
      </w:r>
      <w:r>
        <w:rPr>
          <w:rFonts w:ascii="David" w:hAnsi="David" w:cs="David" w:hint="cs"/>
          <w:sz w:val="24"/>
          <w:szCs w:val="24"/>
          <w:rtl/>
        </w:rPr>
        <w:t>רום מיוחד</w:t>
      </w:r>
      <w:r w:rsidR="00BE79A2">
        <w:rPr>
          <w:rFonts w:ascii="David" w:hAnsi="David" w:cs="David"/>
          <w:sz w:val="24"/>
          <w:szCs w:val="24"/>
          <w:rtl/>
        </w:rPr>
        <w:t>, המצב הביטחוני אליה נקלעה מדינת ישראל וכלל תושביה הינה בגדר מציאות חדשה, מתוחה יותר, מלחמתית, ארוכה, שיש בה להשפיע על כולם, אנשים בריאים ומתמודדי נפש כאחד, ו</w:t>
      </w:r>
      <w:r>
        <w:rPr>
          <w:rFonts w:ascii="David" w:hAnsi="David" w:cs="David" w:hint="cs"/>
          <w:sz w:val="24"/>
          <w:szCs w:val="24"/>
          <w:rtl/>
        </w:rPr>
        <w:t xml:space="preserve">לענייננו </w:t>
      </w:r>
      <w:r>
        <w:rPr>
          <w:rFonts w:ascii="David" w:hAnsi="David" w:cs="David"/>
          <w:sz w:val="24"/>
          <w:szCs w:val="24"/>
          <w:rtl/>
        </w:rPr>
        <w:t>דגש על הפן הנפשי</w:t>
      </w:r>
      <w:r>
        <w:rPr>
          <w:rFonts w:ascii="David" w:hAnsi="David" w:cs="David" w:hint="cs"/>
          <w:sz w:val="24"/>
          <w:szCs w:val="24"/>
          <w:rtl/>
        </w:rPr>
        <w:t xml:space="preserve"> הב</w:t>
      </w:r>
      <w:r w:rsidR="00BE79A2">
        <w:rPr>
          <w:rFonts w:ascii="David" w:hAnsi="David" w:cs="David"/>
          <w:sz w:val="24"/>
          <w:szCs w:val="24"/>
          <w:rtl/>
        </w:rPr>
        <w:t>א לידי ביטוי בלחץ מוגבר, חשש,</w:t>
      </w:r>
      <w:r w:rsidR="00A52085">
        <w:rPr>
          <w:rFonts w:ascii="David" w:hAnsi="David" w:cs="David"/>
          <w:sz w:val="24"/>
          <w:szCs w:val="24"/>
          <w:rtl/>
        </w:rPr>
        <w:t xml:space="preserve"> תחושות חרדה</w:t>
      </w:r>
      <w:r w:rsidR="00A52085">
        <w:rPr>
          <w:rFonts w:ascii="David" w:hAnsi="David" w:cs="David" w:hint="cs"/>
          <w:sz w:val="24"/>
          <w:szCs w:val="24"/>
          <w:rtl/>
        </w:rPr>
        <w:t xml:space="preserve">, </w:t>
      </w:r>
      <w:r>
        <w:rPr>
          <w:rFonts w:ascii="David" w:hAnsi="David" w:cs="David"/>
          <w:sz w:val="24"/>
          <w:szCs w:val="24"/>
          <w:rtl/>
        </w:rPr>
        <w:t>חוסר אונים וכיו"ב</w:t>
      </w:r>
      <w:r w:rsidR="00BE79A2">
        <w:rPr>
          <w:rFonts w:ascii="David" w:hAnsi="David" w:cs="David"/>
          <w:sz w:val="24"/>
          <w:szCs w:val="24"/>
          <w:rtl/>
        </w:rPr>
        <w:t>. חלקים נרחבים מחב</w:t>
      </w:r>
      <w:r w:rsidR="00A52085">
        <w:rPr>
          <w:rFonts w:ascii="David" w:hAnsi="David" w:cs="David"/>
          <w:sz w:val="24"/>
          <w:szCs w:val="24"/>
          <w:rtl/>
        </w:rPr>
        <w:t>לי הארץ נתונים תחת מתקפות טילים</w:t>
      </w:r>
      <w:r w:rsidR="00A52085">
        <w:rPr>
          <w:rFonts w:ascii="David" w:hAnsi="David" w:cs="David" w:hint="cs"/>
          <w:sz w:val="24"/>
          <w:szCs w:val="24"/>
          <w:rtl/>
        </w:rPr>
        <w:t>.</w:t>
      </w:r>
      <w:r w:rsidR="00BE79A2">
        <w:rPr>
          <w:rFonts w:ascii="David" w:hAnsi="David" w:cs="David"/>
          <w:sz w:val="24"/>
          <w:szCs w:val="24"/>
          <w:rtl/>
        </w:rPr>
        <w:t xml:space="preserve"> אין ספק כי </w:t>
      </w:r>
      <w:r>
        <w:rPr>
          <w:rFonts w:ascii="David" w:hAnsi="David" w:cs="David" w:hint="cs"/>
          <w:sz w:val="24"/>
          <w:szCs w:val="24"/>
          <w:rtl/>
        </w:rPr>
        <w:t xml:space="preserve">הדבר </w:t>
      </w:r>
      <w:r>
        <w:rPr>
          <w:rFonts w:ascii="David" w:hAnsi="David" w:cs="David"/>
          <w:sz w:val="24"/>
          <w:szCs w:val="24"/>
          <w:rtl/>
        </w:rPr>
        <w:t>משפיע על תפקוד הנפש</w:t>
      </w:r>
      <w:r>
        <w:rPr>
          <w:rFonts w:ascii="David" w:hAnsi="David" w:cs="David" w:hint="cs"/>
          <w:sz w:val="24"/>
          <w:szCs w:val="24"/>
          <w:rtl/>
        </w:rPr>
        <w:t xml:space="preserve">. </w:t>
      </w:r>
      <w:r w:rsidR="00BE79A2">
        <w:rPr>
          <w:rFonts w:ascii="David" w:hAnsi="David" w:cs="David"/>
          <w:sz w:val="24"/>
          <w:szCs w:val="24"/>
          <w:rtl/>
        </w:rPr>
        <w:t>יש ל</w:t>
      </w:r>
      <w:r>
        <w:rPr>
          <w:rFonts w:ascii="David" w:hAnsi="David" w:cs="David" w:hint="cs"/>
          <w:sz w:val="24"/>
          <w:szCs w:val="24"/>
          <w:rtl/>
        </w:rPr>
        <w:t xml:space="preserve">בחון </w:t>
      </w:r>
      <w:r w:rsidR="00FA5C93">
        <w:rPr>
          <w:rFonts w:ascii="David" w:hAnsi="David" w:cs="David" w:hint="cs"/>
          <w:sz w:val="24"/>
          <w:szCs w:val="24"/>
          <w:rtl/>
        </w:rPr>
        <w:t xml:space="preserve">את מידת ההשפעה של המצב הביטחוני המיוחד אל מול שמירת </w:t>
      </w:r>
      <w:r w:rsidR="00AB55C0">
        <w:rPr>
          <w:rFonts w:ascii="David" w:hAnsi="David" w:cs="David" w:hint="cs"/>
          <w:sz w:val="24"/>
          <w:szCs w:val="24"/>
          <w:rtl/>
        </w:rPr>
        <w:t xml:space="preserve">אינטרס </w:t>
      </w:r>
      <w:r w:rsidR="003D67F8">
        <w:rPr>
          <w:rFonts w:ascii="David" w:hAnsi="David" w:cs="David" w:hint="cs"/>
          <w:sz w:val="24"/>
          <w:szCs w:val="24"/>
          <w:rtl/>
        </w:rPr>
        <w:t>המשיב לצאת לחופשות אל מול חובת השמירה על שלום הציבור</w:t>
      </w:r>
      <w:r w:rsidR="00FA5C93">
        <w:rPr>
          <w:rFonts w:ascii="David" w:hAnsi="David" w:cs="David" w:hint="cs"/>
          <w:sz w:val="24"/>
          <w:szCs w:val="24"/>
          <w:rtl/>
        </w:rPr>
        <w:t xml:space="preserve">. ומהכלל אל הפרט </w:t>
      </w:r>
      <w:r w:rsidR="00BE79A2">
        <w:rPr>
          <w:rFonts w:ascii="David" w:hAnsi="David" w:cs="David"/>
          <w:sz w:val="24"/>
          <w:szCs w:val="24"/>
          <w:rtl/>
        </w:rPr>
        <w:t xml:space="preserve">האם </w:t>
      </w:r>
      <w:r w:rsidR="00FA5C93">
        <w:rPr>
          <w:rFonts w:ascii="David" w:hAnsi="David" w:cs="David" w:hint="cs"/>
          <w:sz w:val="24"/>
          <w:szCs w:val="24"/>
          <w:rtl/>
        </w:rPr>
        <w:t xml:space="preserve">בשל </w:t>
      </w:r>
      <w:r w:rsidR="00673173">
        <w:rPr>
          <w:rFonts w:ascii="David" w:hAnsi="David" w:cs="David" w:hint="cs"/>
          <w:sz w:val="24"/>
          <w:szCs w:val="24"/>
          <w:rtl/>
        </w:rPr>
        <w:t>ה</w:t>
      </w:r>
      <w:r w:rsidR="00FA5C93">
        <w:rPr>
          <w:rFonts w:ascii="David" w:hAnsi="David" w:cs="David" w:hint="cs"/>
          <w:sz w:val="24"/>
          <w:szCs w:val="24"/>
          <w:rtl/>
        </w:rPr>
        <w:t xml:space="preserve">מצב הביטחוני </w:t>
      </w:r>
      <w:r w:rsidR="00BE79A2">
        <w:rPr>
          <w:rFonts w:ascii="David" w:hAnsi="David" w:cs="David"/>
          <w:sz w:val="24"/>
          <w:szCs w:val="24"/>
          <w:rtl/>
        </w:rPr>
        <w:t xml:space="preserve">יש להורות על הותרת סטטוס החופשות כמחייב ליווי, שבפועל משמעות הדבר </w:t>
      </w:r>
      <w:r w:rsidR="00FA5C93">
        <w:rPr>
          <w:rFonts w:ascii="David" w:hAnsi="David" w:cs="David" w:hint="cs"/>
          <w:sz w:val="24"/>
          <w:szCs w:val="24"/>
          <w:rtl/>
        </w:rPr>
        <w:t xml:space="preserve">היא </w:t>
      </w:r>
      <w:r w:rsidR="00BE79A2">
        <w:rPr>
          <w:rFonts w:ascii="David" w:hAnsi="David" w:cs="David"/>
          <w:sz w:val="24"/>
          <w:szCs w:val="24"/>
          <w:rtl/>
        </w:rPr>
        <w:t xml:space="preserve">שהמשיב לא יוכל לצאת לחופשות </w:t>
      </w:r>
      <w:r w:rsidR="00AA497A">
        <w:rPr>
          <w:rFonts w:ascii="David" w:hAnsi="David" w:cs="David" w:hint="cs"/>
          <w:sz w:val="24"/>
          <w:szCs w:val="24"/>
          <w:rtl/>
        </w:rPr>
        <w:t xml:space="preserve">בטווח 48 שעות, בשל </w:t>
      </w:r>
      <w:r w:rsidR="006B4F2D">
        <w:rPr>
          <w:rFonts w:ascii="David" w:hAnsi="David" w:cs="David" w:hint="cs"/>
          <w:sz w:val="24"/>
          <w:szCs w:val="24"/>
          <w:rtl/>
        </w:rPr>
        <w:t>מגבלת ילדיו במפורט בסעיף 7 לעיל.</w:t>
      </w:r>
    </w:p>
    <w:p w:rsidR="0011159C" w:rsidRPr="0011159C" w:rsidRDefault="0011159C" w:rsidP="0011159C">
      <w:pPr>
        <w:pStyle w:val="ad"/>
        <w:rPr>
          <w:rFonts w:ascii="David" w:hAnsi="David" w:cs="David"/>
          <w:sz w:val="24"/>
          <w:szCs w:val="24"/>
          <w:rtl/>
        </w:rPr>
      </w:pPr>
    </w:p>
    <w:p w:rsidR="001A7F9B" w:rsidRPr="0011159C" w:rsidRDefault="006B4F2D" w:rsidP="0011159C">
      <w:pPr>
        <w:pStyle w:val="ad"/>
        <w:spacing w:after="0" w:line="360" w:lineRule="auto"/>
        <w:ind w:left="-58" w:right="-142"/>
        <w:jc w:val="both"/>
        <w:rPr>
          <w:rFonts w:ascii="David" w:hAnsi="David" w:cs="David"/>
          <w:sz w:val="24"/>
          <w:szCs w:val="24"/>
          <w:rtl/>
        </w:rPr>
      </w:pPr>
      <w:r w:rsidRPr="0011159C">
        <w:rPr>
          <w:rFonts w:ascii="David" w:hAnsi="David" w:cs="David"/>
          <w:sz w:val="24"/>
          <w:szCs w:val="24"/>
          <w:rtl/>
        </w:rPr>
        <w:t xml:space="preserve"> </w:t>
      </w:r>
    </w:p>
    <w:p w:rsidR="00BE79A2" w:rsidRDefault="001A7F9B" w:rsidP="00113251">
      <w:pPr>
        <w:pStyle w:val="ad"/>
        <w:numPr>
          <w:ilvl w:val="0"/>
          <w:numId w:val="1"/>
        </w:numPr>
        <w:spacing w:after="0" w:line="360" w:lineRule="auto"/>
        <w:ind w:left="-58" w:right="-142"/>
        <w:jc w:val="both"/>
        <w:rPr>
          <w:rFonts w:ascii="David" w:hAnsi="David" w:cs="David"/>
          <w:sz w:val="24"/>
          <w:szCs w:val="24"/>
        </w:rPr>
      </w:pPr>
      <w:r w:rsidRPr="001A7F9B">
        <w:rPr>
          <w:rFonts w:ascii="David" w:hAnsi="David" w:cs="David" w:hint="cs"/>
          <w:sz w:val="24"/>
          <w:szCs w:val="24"/>
          <w:rtl/>
        </w:rPr>
        <w:t>לאחר ששקלתי את עמדות הצדדים אני דוחה את עמדת ב"כ היועמ"ש כי יש להורות על חופשות בליווי. החלטת הוועדה הפסיכיאטרי</w:t>
      </w:r>
      <w:r w:rsidRPr="001A7F9B">
        <w:rPr>
          <w:rFonts w:ascii="David" w:hAnsi="David" w:cs="David" w:hint="eastAsia"/>
          <w:sz w:val="24"/>
          <w:szCs w:val="24"/>
          <w:rtl/>
        </w:rPr>
        <w:t>ת</w:t>
      </w:r>
      <w:r w:rsidRPr="001A7F9B">
        <w:rPr>
          <w:rFonts w:ascii="David" w:hAnsi="David" w:cs="David" w:hint="cs"/>
          <w:sz w:val="24"/>
          <w:szCs w:val="24"/>
          <w:rtl/>
        </w:rPr>
        <w:t xml:space="preserve"> לחופשות ללא ליווי היא החלטה התואמת את מצבו הנפ</w:t>
      </w:r>
      <w:r w:rsidR="0011159C">
        <w:rPr>
          <w:rFonts w:ascii="David" w:hAnsi="David" w:cs="David" w:hint="cs"/>
          <w:sz w:val="24"/>
          <w:szCs w:val="24"/>
          <w:rtl/>
        </w:rPr>
        <w:t>שי והמשפחתי של המשיב.  עולה בקנה</w:t>
      </w:r>
      <w:r w:rsidRPr="001A7F9B">
        <w:rPr>
          <w:rFonts w:ascii="David" w:hAnsi="David" w:cs="David" w:hint="cs"/>
          <w:sz w:val="24"/>
          <w:szCs w:val="24"/>
          <w:rtl/>
        </w:rPr>
        <w:t xml:space="preserve"> אחד עם שמירה עם אינטרס הפרט ועם אינטרס החברה. </w:t>
      </w:r>
    </w:p>
    <w:p w:rsidR="001A7F9B" w:rsidRPr="001A7F9B" w:rsidRDefault="001A7F9B" w:rsidP="001A7F9B">
      <w:pPr>
        <w:pStyle w:val="ad"/>
        <w:rPr>
          <w:rFonts w:ascii="David" w:hAnsi="David" w:cs="David"/>
          <w:sz w:val="24"/>
          <w:szCs w:val="24"/>
          <w:rtl/>
        </w:rPr>
      </w:pPr>
    </w:p>
    <w:p w:rsidR="001A7F9B" w:rsidRPr="001A7F9B" w:rsidRDefault="001A7F9B" w:rsidP="001A7F9B">
      <w:pPr>
        <w:pStyle w:val="ad"/>
        <w:spacing w:after="0" w:line="360" w:lineRule="auto"/>
        <w:ind w:left="-58" w:right="-142"/>
        <w:jc w:val="both"/>
        <w:rPr>
          <w:rFonts w:ascii="David" w:hAnsi="David" w:cs="David"/>
          <w:sz w:val="24"/>
          <w:szCs w:val="24"/>
          <w:rtl/>
        </w:rPr>
      </w:pPr>
    </w:p>
    <w:p w:rsidR="00BA7752" w:rsidRDefault="001A7F9B" w:rsidP="00E56636">
      <w:pPr>
        <w:pStyle w:val="ad"/>
        <w:numPr>
          <w:ilvl w:val="0"/>
          <w:numId w:val="1"/>
        </w:numPr>
        <w:spacing w:after="0" w:line="360" w:lineRule="auto"/>
        <w:ind w:left="-58" w:right="-142"/>
        <w:jc w:val="both"/>
        <w:rPr>
          <w:rFonts w:ascii="David" w:hAnsi="David" w:cs="David"/>
          <w:sz w:val="24"/>
          <w:szCs w:val="24"/>
        </w:rPr>
      </w:pPr>
      <w:r>
        <w:rPr>
          <w:rFonts w:ascii="David" w:hAnsi="David" w:cs="David" w:hint="cs"/>
          <w:color w:val="000000"/>
          <w:sz w:val="24"/>
          <w:szCs w:val="24"/>
          <w:rtl/>
        </w:rPr>
        <w:t>סוגיה נוספת עליה איתן את דעתי היא באשר למשך החופשות</w:t>
      </w:r>
      <w:r w:rsidR="00E56636">
        <w:rPr>
          <w:rFonts w:ascii="David" w:hAnsi="David" w:cs="David" w:hint="cs"/>
          <w:color w:val="000000"/>
          <w:sz w:val="24"/>
          <w:szCs w:val="24"/>
          <w:rtl/>
        </w:rPr>
        <w:t>.</w:t>
      </w:r>
      <w:r>
        <w:rPr>
          <w:rFonts w:ascii="David" w:hAnsi="David" w:cs="David" w:hint="cs"/>
          <w:color w:val="000000"/>
          <w:sz w:val="24"/>
          <w:szCs w:val="24"/>
          <w:rtl/>
        </w:rPr>
        <w:t xml:space="preserve"> האם </w:t>
      </w:r>
      <w:r w:rsidR="00E56636">
        <w:rPr>
          <w:rFonts w:ascii="David" w:hAnsi="David" w:cs="David" w:hint="cs"/>
          <w:color w:val="000000"/>
          <w:sz w:val="24"/>
          <w:szCs w:val="24"/>
          <w:rtl/>
        </w:rPr>
        <w:t xml:space="preserve">ההרחבה בחופשות </w:t>
      </w:r>
      <w:r w:rsidR="000057E4" w:rsidRPr="00E90302">
        <w:rPr>
          <w:rFonts w:ascii="David" w:hAnsi="David" w:cs="David" w:hint="cs"/>
          <w:color w:val="000000"/>
          <w:sz w:val="24"/>
          <w:szCs w:val="24"/>
          <w:rtl/>
        </w:rPr>
        <w:t>שקבע</w:t>
      </w:r>
      <w:r w:rsidR="00E56636">
        <w:rPr>
          <w:rFonts w:ascii="David" w:hAnsi="David" w:cs="David" w:hint="cs"/>
          <w:color w:val="000000"/>
          <w:sz w:val="24"/>
          <w:szCs w:val="24"/>
          <w:rtl/>
        </w:rPr>
        <w:t>ה הוועדה הפסיכיאטרית, מחופשות בנות</w:t>
      </w:r>
      <w:r w:rsidR="000057E4" w:rsidRPr="00E90302">
        <w:rPr>
          <w:rFonts w:ascii="David" w:hAnsi="David" w:cs="David" w:hint="cs"/>
          <w:color w:val="000000"/>
          <w:sz w:val="24"/>
          <w:szCs w:val="24"/>
          <w:rtl/>
        </w:rPr>
        <w:t xml:space="preserve"> 48 שעות בליווי לחופשות </w:t>
      </w:r>
      <w:r w:rsidR="00E56636">
        <w:rPr>
          <w:rFonts w:ascii="David" w:hAnsi="David" w:cs="David" w:hint="cs"/>
          <w:color w:val="000000"/>
          <w:sz w:val="24"/>
          <w:szCs w:val="24"/>
          <w:rtl/>
        </w:rPr>
        <w:t xml:space="preserve">בנות </w:t>
      </w:r>
      <w:r w:rsidR="000057E4" w:rsidRPr="00E90302">
        <w:rPr>
          <w:rFonts w:ascii="David" w:hAnsi="David" w:cs="David" w:hint="cs"/>
          <w:color w:val="000000"/>
          <w:sz w:val="24"/>
          <w:szCs w:val="24"/>
          <w:rtl/>
        </w:rPr>
        <w:t>72 שעות ללא ליווי, הינה הרחבה מידתית וסבירה</w:t>
      </w:r>
      <w:r w:rsidR="00E56636">
        <w:rPr>
          <w:rFonts w:ascii="David" w:hAnsi="David" w:cs="David" w:hint="cs"/>
          <w:color w:val="000000"/>
          <w:sz w:val="24"/>
          <w:szCs w:val="24"/>
          <w:rtl/>
        </w:rPr>
        <w:t xml:space="preserve"> או שיש</w:t>
      </w:r>
      <w:r w:rsidR="007F4026" w:rsidRPr="00E90302">
        <w:rPr>
          <w:rFonts w:ascii="David" w:hAnsi="David" w:cs="David" w:hint="cs"/>
          <w:color w:val="000000"/>
          <w:sz w:val="24"/>
          <w:szCs w:val="24"/>
          <w:rtl/>
        </w:rPr>
        <w:t xml:space="preserve"> להתערב בה</w:t>
      </w:r>
      <w:r w:rsidR="00E56636">
        <w:rPr>
          <w:rFonts w:ascii="David" w:hAnsi="David" w:cs="David" w:hint="cs"/>
          <w:color w:val="000000"/>
          <w:sz w:val="24"/>
          <w:szCs w:val="24"/>
          <w:rtl/>
        </w:rPr>
        <w:t>חלטה</w:t>
      </w:r>
      <w:r w:rsidR="007F4026" w:rsidRPr="00E90302">
        <w:rPr>
          <w:rFonts w:ascii="David" w:hAnsi="David" w:cs="David" w:hint="cs"/>
          <w:color w:val="000000"/>
          <w:sz w:val="24"/>
          <w:szCs w:val="24"/>
          <w:rtl/>
        </w:rPr>
        <w:t xml:space="preserve"> ולצמצם את משך </w:t>
      </w:r>
      <w:r w:rsidR="00E56636">
        <w:rPr>
          <w:rFonts w:ascii="David" w:hAnsi="David" w:cs="David" w:hint="cs"/>
          <w:color w:val="000000"/>
          <w:sz w:val="24"/>
          <w:szCs w:val="24"/>
          <w:rtl/>
        </w:rPr>
        <w:t>שעות</w:t>
      </w:r>
      <w:r w:rsidR="007F4026" w:rsidRPr="00E90302">
        <w:rPr>
          <w:rFonts w:ascii="David" w:hAnsi="David" w:cs="David" w:hint="cs"/>
          <w:color w:val="000000"/>
          <w:sz w:val="24"/>
          <w:szCs w:val="24"/>
          <w:rtl/>
        </w:rPr>
        <w:t xml:space="preserve"> החופשה</w:t>
      </w:r>
      <w:r w:rsidR="000057E4" w:rsidRPr="00E90302">
        <w:rPr>
          <w:rFonts w:ascii="David" w:hAnsi="David" w:cs="David" w:hint="cs"/>
          <w:color w:val="000000"/>
          <w:sz w:val="24"/>
          <w:szCs w:val="24"/>
          <w:rtl/>
        </w:rPr>
        <w:t>.</w:t>
      </w:r>
      <w:r w:rsidR="007F4026" w:rsidRPr="00E90302">
        <w:rPr>
          <w:rFonts w:ascii="David" w:hAnsi="David" w:cs="David" w:hint="cs"/>
          <w:color w:val="000000"/>
          <w:sz w:val="24"/>
          <w:szCs w:val="24"/>
          <w:rtl/>
        </w:rPr>
        <w:t xml:space="preserve"> </w:t>
      </w:r>
    </w:p>
    <w:p w:rsidR="00BA7752" w:rsidRPr="00BA7752" w:rsidRDefault="00BA7752" w:rsidP="00BA7752">
      <w:pPr>
        <w:pStyle w:val="ad"/>
        <w:spacing w:after="0" w:line="360" w:lineRule="auto"/>
        <w:ind w:left="-58" w:right="-142"/>
        <w:jc w:val="both"/>
        <w:rPr>
          <w:rFonts w:ascii="David" w:hAnsi="David" w:cs="David"/>
          <w:sz w:val="24"/>
          <w:szCs w:val="24"/>
        </w:rPr>
      </w:pPr>
    </w:p>
    <w:p w:rsidR="001A7F9B" w:rsidRPr="00BA7752" w:rsidRDefault="00E90302" w:rsidP="00BA7752">
      <w:pPr>
        <w:pStyle w:val="ad"/>
        <w:numPr>
          <w:ilvl w:val="0"/>
          <w:numId w:val="1"/>
        </w:numPr>
        <w:spacing w:after="0" w:line="360" w:lineRule="auto"/>
        <w:ind w:left="-58" w:right="-142"/>
        <w:jc w:val="both"/>
        <w:rPr>
          <w:rFonts w:ascii="David" w:hAnsi="David" w:cs="David"/>
          <w:sz w:val="24"/>
          <w:szCs w:val="24"/>
        </w:rPr>
      </w:pPr>
      <w:r w:rsidRPr="00BA7752">
        <w:rPr>
          <w:rFonts w:ascii="David" w:hAnsi="David" w:cs="David" w:hint="cs"/>
          <w:color w:val="000000"/>
          <w:sz w:val="24"/>
          <w:szCs w:val="24"/>
          <w:rtl/>
        </w:rPr>
        <w:t xml:space="preserve">לאחר ששקלתי את עמדות הצדדים מצאתי </w:t>
      </w:r>
      <w:r w:rsidRPr="00BA7752">
        <w:rPr>
          <w:rFonts w:ascii="David" w:hAnsi="David" w:cs="David"/>
          <w:color w:val="000000"/>
          <w:sz w:val="24"/>
          <w:szCs w:val="24"/>
          <w:rtl/>
        </w:rPr>
        <w:t>כי יש</w:t>
      </w:r>
      <w:r w:rsidRPr="00BA7752">
        <w:rPr>
          <w:rFonts w:ascii="David" w:hAnsi="David" w:cs="David" w:hint="cs"/>
          <w:color w:val="000000"/>
          <w:sz w:val="24"/>
          <w:szCs w:val="24"/>
          <w:rtl/>
        </w:rPr>
        <w:t xml:space="preserve"> טעם בדברי </w:t>
      </w:r>
      <w:r w:rsidRPr="00BA7752">
        <w:rPr>
          <w:rFonts w:ascii="David" w:hAnsi="David" w:cs="David"/>
          <w:color w:val="000000"/>
          <w:sz w:val="24"/>
          <w:szCs w:val="24"/>
          <w:rtl/>
        </w:rPr>
        <w:t>ב"כ היועמ"ש ו</w:t>
      </w:r>
      <w:r w:rsidRPr="00BA7752">
        <w:rPr>
          <w:rFonts w:ascii="David" w:hAnsi="David" w:cs="David" w:hint="cs"/>
          <w:color w:val="000000"/>
          <w:sz w:val="24"/>
          <w:szCs w:val="24"/>
          <w:rtl/>
        </w:rPr>
        <w:t xml:space="preserve">יש </w:t>
      </w:r>
      <w:r w:rsidRPr="00BA7752">
        <w:rPr>
          <w:rFonts w:ascii="David" w:hAnsi="David" w:cs="David"/>
          <w:color w:val="000000"/>
          <w:sz w:val="24"/>
          <w:szCs w:val="24"/>
          <w:rtl/>
        </w:rPr>
        <w:t>ל</w:t>
      </w:r>
      <w:r w:rsidRPr="00BA7752">
        <w:rPr>
          <w:rFonts w:ascii="David" w:hAnsi="David" w:cs="David" w:hint="cs"/>
          <w:color w:val="000000"/>
          <w:sz w:val="24"/>
          <w:szCs w:val="24"/>
          <w:rtl/>
        </w:rPr>
        <w:t xml:space="preserve">קבוע מעין "תחנת ביניים" בין המצב הקודם- 48 שעות בלווי לבין החלטת הוועדה הפסיכיאטרית- 72 שעות ללא ליווי. </w:t>
      </w:r>
    </w:p>
    <w:p w:rsidR="001A7F9B" w:rsidRDefault="001A7F9B" w:rsidP="001A7F9B">
      <w:pPr>
        <w:pStyle w:val="ad"/>
        <w:spacing w:after="0" w:line="360" w:lineRule="auto"/>
        <w:ind w:left="-58" w:right="-142"/>
        <w:jc w:val="both"/>
        <w:rPr>
          <w:rFonts w:ascii="David" w:hAnsi="David" w:cs="David"/>
          <w:sz w:val="24"/>
          <w:szCs w:val="24"/>
        </w:rPr>
      </w:pPr>
    </w:p>
    <w:p w:rsidR="00BE79A2" w:rsidRPr="002316E7" w:rsidRDefault="00E90302" w:rsidP="00C66965">
      <w:pPr>
        <w:pStyle w:val="ad"/>
        <w:numPr>
          <w:ilvl w:val="0"/>
          <w:numId w:val="1"/>
        </w:numPr>
        <w:spacing w:after="0" w:line="360" w:lineRule="auto"/>
        <w:ind w:left="-58" w:right="-142"/>
        <w:jc w:val="both"/>
        <w:rPr>
          <w:rFonts w:ascii="David" w:hAnsi="David" w:cs="David"/>
          <w:sz w:val="24"/>
          <w:szCs w:val="24"/>
        </w:rPr>
      </w:pPr>
      <w:r w:rsidRPr="001A7F9B">
        <w:rPr>
          <w:rFonts w:ascii="David" w:hAnsi="David" w:cs="David" w:hint="cs"/>
          <w:sz w:val="24"/>
          <w:szCs w:val="24"/>
          <w:rtl/>
        </w:rPr>
        <w:t xml:space="preserve"> </w:t>
      </w:r>
      <w:r w:rsidR="001A7F9B">
        <w:rPr>
          <w:rFonts w:ascii="David" w:hAnsi="David" w:cs="David" w:hint="cs"/>
          <w:sz w:val="24"/>
          <w:szCs w:val="24"/>
          <w:rtl/>
        </w:rPr>
        <w:t xml:space="preserve">לאחר כל אלה, </w:t>
      </w:r>
      <w:r w:rsidRPr="001A7F9B">
        <w:rPr>
          <w:rFonts w:ascii="David" w:hAnsi="David" w:cs="David" w:hint="cs"/>
          <w:sz w:val="24"/>
          <w:szCs w:val="24"/>
          <w:rtl/>
        </w:rPr>
        <w:t xml:space="preserve">אני מורה </w:t>
      </w:r>
      <w:r w:rsidRPr="001A7F9B">
        <w:rPr>
          <w:rFonts w:ascii="David" w:hAnsi="David" w:cs="David" w:hint="cs"/>
          <w:color w:val="000000"/>
          <w:sz w:val="24"/>
          <w:szCs w:val="24"/>
          <w:rtl/>
        </w:rPr>
        <w:t xml:space="preserve">כי </w:t>
      </w:r>
      <w:r w:rsidRPr="00F22CD0">
        <w:rPr>
          <w:rFonts w:ascii="David" w:hAnsi="David" w:cs="David" w:hint="cs"/>
          <w:color w:val="000000"/>
          <w:sz w:val="24"/>
          <w:szCs w:val="24"/>
          <w:u w:val="single"/>
          <w:rtl/>
        </w:rPr>
        <w:t>במשך שלושה חודשים</w:t>
      </w:r>
      <w:r w:rsidRPr="001A7F9B">
        <w:rPr>
          <w:rFonts w:ascii="David" w:hAnsi="David" w:cs="David" w:hint="cs"/>
          <w:color w:val="000000"/>
          <w:sz w:val="24"/>
          <w:szCs w:val="24"/>
          <w:rtl/>
        </w:rPr>
        <w:t xml:space="preserve"> מהיום יוכל המשיב לצאת ל</w:t>
      </w:r>
      <w:r w:rsidRPr="001A7F9B">
        <w:rPr>
          <w:rFonts w:ascii="David" w:hAnsi="David" w:cs="David"/>
          <w:color w:val="000000"/>
          <w:sz w:val="24"/>
          <w:szCs w:val="24"/>
          <w:rtl/>
        </w:rPr>
        <w:t>חופשות</w:t>
      </w:r>
      <w:r w:rsidRPr="00F22CD0">
        <w:rPr>
          <w:rFonts w:ascii="David" w:hAnsi="David" w:cs="David"/>
          <w:color w:val="000000"/>
          <w:sz w:val="24"/>
          <w:szCs w:val="24"/>
          <w:rtl/>
        </w:rPr>
        <w:t xml:space="preserve"> </w:t>
      </w:r>
      <w:r w:rsidR="00C66965">
        <w:rPr>
          <w:rFonts w:ascii="David" w:hAnsi="David" w:cs="David" w:hint="cs"/>
          <w:color w:val="000000"/>
          <w:sz w:val="24"/>
          <w:szCs w:val="24"/>
          <w:u w:val="single"/>
          <w:rtl/>
        </w:rPr>
        <w:t>בנות</w:t>
      </w:r>
      <w:r w:rsidRPr="00F22CD0">
        <w:rPr>
          <w:rFonts w:ascii="David" w:hAnsi="David" w:cs="David"/>
          <w:color w:val="000000"/>
          <w:sz w:val="24"/>
          <w:szCs w:val="24"/>
          <w:u w:val="single"/>
          <w:rtl/>
        </w:rPr>
        <w:t xml:space="preserve"> 48 שעות</w:t>
      </w:r>
      <w:r w:rsidRPr="00F22CD0">
        <w:rPr>
          <w:rFonts w:ascii="David" w:hAnsi="David" w:cs="David" w:hint="cs"/>
          <w:color w:val="000000"/>
          <w:sz w:val="24"/>
          <w:szCs w:val="24"/>
          <w:u w:val="single"/>
          <w:rtl/>
        </w:rPr>
        <w:t xml:space="preserve"> ללא </w:t>
      </w:r>
      <w:r w:rsidRPr="001A7F9B">
        <w:rPr>
          <w:rFonts w:ascii="David" w:hAnsi="David" w:cs="David" w:hint="cs"/>
          <w:color w:val="000000"/>
          <w:sz w:val="24"/>
          <w:szCs w:val="24"/>
          <w:u w:val="single"/>
          <w:rtl/>
        </w:rPr>
        <w:t>ליווי</w:t>
      </w:r>
      <w:r w:rsidRPr="001A7F9B">
        <w:rPr>
          <w:rFonts w:ascii="David" w:hAnsi="David" w:cs="David" w:hint="cs"/>
          <w:color w:val="000000"/>
          <w:sz w:val="24"/>
          <w:szCs w:val="24"/>
          <w:rtl/>
        </w:rPr>
        <w:t>.</w:t>
      </w:r>
      <w:r w:rsidR="001A7F9B">
        <w:rPr>
          <w:rFonts w:ascii="David" w:hAnsi="David" w:cs="David" w:hint="cs"/>
          <w:color w:val="000000"/>
          <w:sz w:val="24"/>
          <w:szCs w:val="24"/>
          <w:rtl/>
        </w:rPr>
        <w:t xml:space="preserve"> </w:t>
      </w:r>
      <w:r w:rsidR="001A7F9B" w:rsidRPr="001A7F9B">
        <w:rPr>
          <w:rFonts w:ascii="David" w:hAnsi="David" w:cs="David" w:hint="cs"/>
          <w:color w:val="000000"/>
          <w:sz w:val="24"/>
          <w:szCs w:val="24"/>
          <w:rtl/>
        </w:rPr>
        <w:t>בתום התקופה של שלושה חודשים</w:t>
      </w:r>
      <w:r w:rsidR="001A7F9B">
        <w:rPr>
          <w:rFonts w:ascii="David" w:hAnsi="David" w:cs="David" w:hint="cs"/>
          <w:color w:val="000000"/>
          <w:sz w:val="24"/>
          <w:szCs w:val="24"/>
          <w:rtl/>
        </w:rPr>
        <w:t xml:space="preserve">, </w:t>
      </w:r>
      <w:r w:rsidRPr="001A7F9B">
        <w:rPr>
          <w:rFonts w:ascii="David" w:hAnsi="David" w:cs="David" w:hint="cs"/>
          <w:color w:val="000000"/>
          <w:sz w:val="24"/>
          <w:szCs w:val="24"/>
          <w:rtl/>
        </w:rPr>
        <w:t>ככל שיתרשם מנהל המחלק</w:t>
      </w:r>
      <w:r w:rsidR="00C66965">
        <w:rPr>
          <w:rFonts w:ascii="David" w:hAnsi="David" w:cs="David" w:hint="cs"/>
          <w:color w:val="000000"/>
          <w:sz w:val="24"/>
          <w:szCs w:val="24"/>
          <w:rtl/>
        </w:rPr>
        <w:t xml:space="preserve">ה כי ניתן להרחיב את החופשות,  </w:t>
      </w:r>
      <w:r w:rsidRPr="00F22CD0">
        <w:rPr>
          <w:rFonts w:ascii="David" w:hAnsi="David" w:cs="David" w:hint="cs"/>
          <w:color w:val="000000"/>
          <w:sz w:val="24"/>
          <w:szCs w:val="24"/>
          <w:u w:val="single"/>
          <w:rtl/>
        </w:rPr>
        <w:t>יצא המשיב לחופשה ב</w:t>
      </w:r>
      <w:r w:rsidR="00C66965">
        <w:rPr>
          <w:rFonts w:ascii="David" w:hAnsi="David" w:cs="David" w:hint="cs"/>
          <w:color w:val="000000"/>
          <w:sz w:val="24"/>
          <w:szCs w:val="24"/>
          <w:u w:val="single"/>
          <w:rtl/>
        </w:rPr>
        <w:t>נו</w:t>
      </w:r>
      <w:r w:rsidRPr="00F22CD0">
        <w:rPr>
          <w:rFonts w:ascii="David" w:hAnsi="David" w:cs="David" w:hint="cs"/>
          <w:color w:val="000000"/>
          <w:sz w:val="24"/>
          <w:szCs w:val="24"/>
          <w:u w:val="single"/>
          <w:rtl/>
        </w:rPr>
        <w:t>ת 72 שעות ללא ליווי</w:t>
      </w:r>
      <w:r w:rsidRPr="001A7F9B">
        <w:rPr>
          <w:rFonts w:ascii="David" w:hAnsi="David" w:cs="David" w:hint="cs"/>
          <w:color w:val="000000"/>
          <w:sz w:val="24"/>
          <w:szCs w:val="24"/>
          <w:rtl/>
        </w:rPr>
        <w:t>.</w:t>
      </w:r>
    </w:p>
    <w:p w:rsidR="002316E7" w:rsidRPr="002316E7" w:rsidRDefault="002316E7" w:rsidP="002316E7">
      <w:pPr>
        <w:pStyle w:val="ad"/>
        <w:rPr>
          <w:rFonts w:ascii="David" w:hAnsi="David" w:cs="David"/>
          <w:sz w:val="24"/>
          <w:szCs w:val="24"/>
          <w:rtl/>
        </w:rPr>
      </w:pPr>
    </w:p>
    <w:p w:rsidR="00DA2650" w:rsidRPr="00DA2650" w:rsidRDefault="002316E7" w:rsidP="00DA2650">
      <w:pPr>
        <w:pStyle w:val="ad"/>
        <w:numPr>
          <w:ilvl w:val="0"/>
          <w:numId w:val="1"/>
        </w:numPr>
        <w:spacing w:after="0" w:line="360" w:lineRule="auto"/>
        <w:ind w:left="-58" w:right="-142"/>
        <w:jc w:val="both"/>
        <w:rPr>
          <w:rFonts w:ascii="David" w:hAnsi="David" w:cs="David"/>
          <w:sz w:val="24"/>
          <w:szCs w:val="24"/>
        </w:rPr>
      </w:pPr>
      <w:r w:rsidRPr="00DA2650">
        <w:rPr>
          <w:rFonts w:ascii="David" w:hAnsi="David" w:cs="David"/>
          <w:b/>
          <w:bCs/>
          <w:color w:val="000000"/>
          <w:sz w:val="24"/>
          <w:szCs w:val="24"/>
          <w:rtl/>
        </w:rPr>
        <w:t>"אמור לי כיצד מטפלת חברה בחולי הנפש שלה ואומר לך מהי מידת מחוייבותה של אותה חברה לזכויות הפרט ולשלום הציבור</w:t>
      </w:r>
      <w:r w:rsidRPr="00DA2650">
        <w:rPr>
          <w:rFonts w:ascii="David" w:hAnsi="David" w:cs="David"/>
          <w:b/>
          <w:bCs/>
          <w:color w:val="000000"/>
          <w:sz w:val="24"/>
          <w:szCs w:val="24"/>
        </w:rPr>
        <w:t>"</w:t>
      </w:r>
      <w:r w:rsidRPr="00DA2650">
        <w:rPr>
          <w:rFonts w:ascii="David" w:hAnsi="David" w:cs="David"/>
          <w:b/>
          <w:bCs/>
          <w:color w:val="000000"/>
          <w:sz w:val="24"/>
          <w:szCs w:val="24"/>
          <w:rtl/>
        </w:rPr>
        <w:t xml:space="preserve"> </w:t>
      </w:r>
      <w:r w:rsidRPr="00DA2650">
        <w:rPr>
          <w:rFonts w:ascii="David" w:hAnsi="David" w:cs="David"/>
          <w:sz w:val="24"/>
          <w:szCs w:val="24"/>
          <w:rtl/>
        </w:rPr>
        <w:t>(רע"פ 2060/97 </w:t>
      </w:r>
      <w:r w:rsidRPr="00DA2650">
        <w:rPr>
          <w:rFonts w:ascii="David" w:hAnsi="David" w:cs="David"/>
          <w:b/>
          <w:bCs/>
          <w:sz w:val="24"/>
          <w:szCs w:val="24"/>
          <w:rtl/>
        </w:rPr>
        <w:t>פלונית נ' הפסיכיאטר המחוזי-תל אביב</w:t>
      </w:r>
      <w:r w:rsidRPr="00DA2650">
        <w:rPr>
          <w:rFonts w:ascii="David" w:hAnsi="David" w:cs="David"/>
          <w:sz w:val="24"/>
          <w:szCs w:val="24"/>
          <w:rtl/>
        </w:rPr>
        <w:t> (נבו 11.03.1998)‏</w:t>
      </w:r>
      <w:r w:rsidR="00DA2650">
        <w:rPr>
          <w:rFonts w:ascii="David" w:hAnsi="David" w:cs="David"/>
          <w:color w:val="000000"/>
          <w:sz w:val="24"/>
          <w:szCs w:val="24"/>
          <w:rtl/>
        </w:rPr>
        <w:t>‏)</w:t>
      </w:r>
      <w:r w:rsidR="00DA2650">
        <w:rPr>
          <w:rFonts w:ascii="David" w:hAnsi="David" w:cs="David" w:hint="cs"/>
          <w:color w:val="000000"/>
          <w:sz w:val="24"/>
          <w:szCs w:val="24"/>
          <w:rtl/>
        </w:rPr>
        <w:t>.</w:t>
      </w:r>
    </w:p>
    <w:p w:rsidR="00DA2650" w:rsidRPr="00DA2650" w:rsidRDefault="00DA2650" w:rsidP="00DA2650">
      <w:pPr>
        <w:pStyle w:val="ad"/>
        <w:rPr>
          <w:rFonts w:ascii="David" w:hAnsi="David" w:cs="David"/>
          <w:sz w:val="24"/>
          <w:szCs w:val="24"/>
          <w:rtl/>
        </w:rPr>
      </w:pPr>
    </w:p>
    <w:p w:rsidR="00DA2650" w:rsidRPr="00DA2650" w:rsidRDefault="00DA2650" w:rsidP="00DA2650">
      <w:pPr>
        <w:pStyle w:val="ad"/>
        <w:spacing w:after="0" w:line="360" w:lineRule="auto"/>
        <w:ind w:left="-58" w:right="-142"/>
        <w:jc w:val="both"/>
        <w:rPr>
          <w:rFonts w:ascii="David" w:hAnsi="David" w:cs="David"/>
          <w:sz w:val="24"/>
          <w:szCs w:val="24"/>
          <w:rtl/>
        </w:rPr>
      </w:pPr>
    </w:p>
    <w:p w:rsidR="00BE79A2" w:rsidRPr="00F22CD0" w:rsidRDefault="001A7F9B" w:rsidP="00400DDB">
      <w:pPr>
        <w:pStyle w:val="ad"/>
        <w:numPr>
          <w:ilvl w:val="0"/>
          <w:numId w:val="1"/>
        </w:numPr>
        <w:spacing w:after="0" w:line="360" w:lineRule="auto"/>
        <w:ind w:left="-58" w:right="-142"/>
        <w:jc w:val="both"/>
        <w:rPr>
          <w:rFonts w:ascii="David" w:hAnsi="David" w:cs="David"/>
          <w:color w:val="000000"/>
          <w:sz w:val="24"/>
          <w:szCs w:val="24"/>
        </w:rPr>
      </w:pPr>
      <w:r w:rsidRPr="00F22CD0">
        <w:rPr>
          <w:rFonts w:ascii="David" w:hAnsi="David" w:cs="David" w:hint="cs"/>
          <w:sz w:val="24"/>
          <w:szCs w:val="24"/>
          <w:rtl/>
        </w:rPr>
        <w:t xml:space="preserve">הערעור </w:t>
      </w:r>
      <w:r w:rsidR="00F22CD0">
        <w:rPr>
          <w:rFonts w:ascii="David" w:hAnsi="David" w:cs="David" w:hint="cs"/>
          <w:sz w:val="24"/>
          <w:szCs w:val="24"/>
          <w:rtl/>
        </w:rPr>
        <w:t>מתקבל בחלקו, כמפורט בסעיף 32 לעיל.</w:t>
      </w:r>
    </w:p>
    <w:p w:rsidR="00F22CD0" w:rsidRPr="00F22CD0" w:rsidRDefault="00F22CD0" w:rsidP="00F22CD0">
      <w:pPr>
        <w:pStyle w:val="ad"/>
        <w:rPr>
          <w:rFonts w:ascii="David" w:hAnsi="David" w:cs="David"/>
          <w:color w:val="000000"/>
          <w:sz w:val="24"/>
          <w:szCs w:val="24"/>
          <w:rtl/>
        </w:rPr>
      </w:pPr>
    </w:p>
    <w:p w:rsidR="00F22CD0" w:rsidRDefault="00F22CD0" w:rsidP="00400DDB">
      <w:pPr>
        <w:pStyle w:val="ad"/>
        <w:numPr>
          <w:ilvl w:val="0"/>
          <w:numId w:val="1"/>
        </w:numPr>
        <w:spacing w:after="0" w:line="360" w:lineRule="auto"/>
        <w:ind w:left="-58" w:right="-142"/>
        <w:jc w:val="both"/>
        <w:rPr>
          <w:rFonts w:ascii="David" w:hAnsi="David" w:cs="David"/>
          <w:color w:val="000000"/>
          <w:sz w:val="24"/>
          <w:szCs w:val="24"/>
        </w:rPr>
      </w:pPr>
      <w:r>
        <w:rPr>
          <w:rFonts w:ascii="David" w:hAnsi="David" w:cs="David" w:hint="cs"/>
          <w:color w:val="000000"/>
          <w:sz w:val="24"/>
          <w:szCs w:val="24"/>
          <w:rtl/>
        </w:rPr>
        <w:t>פסק הדין מותר לפרסום בהשמטת פרטים מזהים.</w:t>
      </w:r>
    </w:p>
    <w:p w:rsidR="00DA2650" w:rsidRPr="00DA2650" w:rsidRDefault="00DA2650" w:rsidP="00DA2650">
      <w:pPr>
        <w:pStyle w:val="ad"/>
        <w:rPr>
          <w:rFonts w:ascii="David" w:hAnsi="David" w:cs="David"/>
          <w:color w:val="000000"/>
          <w:sz w:val="24"/>
          <w:szCs w:val="24"/>
          <w:rtl/>
        </w:rPr>
      </w:pPr>
    </w:p>
    <w:p w:rsidR="00DA2650" w:rsidRPr="00F22CD0" w:rsidRDefault="00DA2650" w:rsidP="00400DDB">
      <w:pPr>
        <w:pStyle w:val="ad"/>
        <w:numPr>
          <w:ilvl w:val="0"/>
          <w:numId w:val="1"/>
        </w:numPr>
        <w:spacing w:after="0" w:line="360" w:lineRule="auto"/>
        <w:ind w:left="-58" w:right="-142"/>
        <w:jc w:val="both"/>
        <w:rPr>
          <w:rFonts w:ascii="David" w:hAnsi="David" w:cs="David"/>
          <w:color w:val="000000"/>
          <w:sz w:val="24"/>
          <w:szCs w:val="24"/>
        </w:rPr>
      </w:pPr>
      <w:r>
        <w:rPr>
          <w:rFonts w:ascii="David" w:hAnsi="David" w:cs="David" w:hint="cs"/>
          <w:color w:val="000000"/>
          <w:sz w:val="24"/>
          <w:szCs w:val="24"/>
          <w:rtl/>
        </w:rPr>
        <w:t>המזכירות תמצא את פסק הדין לצדדים ותסגור את התיק.</w:t>
      </w:r>
    </w:p>
    <w:p w:rsidR="00694556" w:rsidRDefault="00694556">
      <w:pPr>
        <w:spacing w:line="360" w:lineRule="auto"/>
        <w:jc w:val="both"/>
        <w:rPr>
          <w:rFonts w:ascii="Arial" w:hAnsi="Arial" w:cstheme="minorBidi"/>
          <w:sz w:val="22"/>
          <w:szCs w:val="22"/>
          <w:rtl/>
        </w:rPr>
      </w:pPr>
    </w:p>
    <w:p w:rsidR="0065191A" w:rsidRPr="00BE79A2" w:rsidRDefault="0065191A">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נובמבר 2023</w:t>
          </w:r>
        </w:sdtContent>
      </w:sdt>
      <w:r w:rsidR="00005C8B">
        <w:rPr>
          <w:rFonts w:ascii="Arial" w:hAnsi="Arial"/>
          <w:noProof w:val="0"/>
          <w:rtl/>
        </w:rPr>
        <w:t>, בהעדר הצדדים.</w:t>
      </w:r>
    </w:p>
    <w:p w:rsidR="00C43648" w:rsidRDefault="0023779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47588058"/>
        </w:sdtPr>
        <w:sdtEndPr/>
        <w:sdtContent>
          <w:r w:rsidR="00673173">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795" w:rsidRDefault="00237795">
      <w:r>
        <w:separator/>
      </w:r>
    </w:p>
  </w:endnote>
  <w:endnote w:type="continuationSeparator" w:id="0">
    <w:p w:rsidR="00237795" w:rsidRDefault="0023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1E" w:rsidRDefault="003D631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00CC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00CC9">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1E" w:rsidRDefault="003D631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795" w:rsidRDefault="00237795">
      <w:r>
        <w:separator/>
      </w:r>
    </w:p>
  </w:footnote>
  <w:footnote w:type="continuationSeparator" w:id="0">
    <w:p w:rsidR="00237795" w:rsidRDefault="00237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1E" w:rsidRDefault="003D631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4B017F">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4B017F">
      <w:trPr>
        <w:trHeight w:val="337"/>
        <w:jc w:val="center"/>
      </w:trPr>
      <w:tc>
        <w:tcPr>
          <w:tcW w:w="8307" w:type="dxa"/>
        </w:tcPr>
        <w:p w:rsidR="008D10B2" w:rsidRPr="004B017F" w:rsidRDefault="00237795" w:rsidP="00673173">
          <w:pPr>
            <w:rPr>
              <w:b/>
              <w:bCs/>
              <w:noProof w:val="0"/>
              <w:rtl/>
            </w:rPr>
          </w:pPr>
          <w:sdt>
            <w:sdtPr>
              <w:rPr>
                <w:rtl/>
              </w:rPr>
              <w:alias w:val="1170"/>
              <w:tag w:val="1170"/>
              <w:id w:val="1066377040"/>
              <w:text w:multiLine="1"/>
            </w:sdtPr>
            <w:sdtEndPr/>
            <w:sdtContent>
              <w:r w:rsidR="00DA2495" w:rsidRPr="004B017F">
                <w:rPr>
                  <w:b/>
                  <w:bCs/>
                  <w:noProof w:val="0"/>
                  <w:rtl/>
                </w:rPr>
                <w:t>ע"א</w:t>
              </w:r>
            </w:sdtContent>
          </w:sdt>
          <w:r w:rsidR="00005C8B" w:rsidRPr="004B017F">
            <w:rPr>
              <w:b/>
              <w:bCs/>
              <w:noProof w:val="0"/>
              <w:rtl/>
            </w:rPr>
            <w:t xml:space="preserve"> </w:t>
          </w:r>
          <w:sdt>
            <w:sdtPr>
              <w:rPr>
                <w:rtl/>
              </w:rPr>
              <w:alias w:val="1171"/>
              <w:tag w:val="1171"/>
              <w:id w:val="257034231"/>
              <w:text w:multiLine="1"/>
            </w:sdtPr>
            <w:sdtEndPr/>
            <w:sdtContent>
              <w:r w:rsidR="00DA2495" w:rsidRPr="004B017F">
                <w:rPr>
                  <w:b/>
                  <w:bCs/>
                  <w:noProof w:val="0"/>
                  <w:rtl/>
                </w:rPr>
                <w:t>16894-11-23</w:t>
              </w:r>
            </w:sdtContent>
          </w:sdt>
          <w:r w:rsidR="00005C8B" w:rsidRPr="004B017F">
            <w:rPr>
              <w:b/>
              <w:bCs/>
              <w:noProof w:val="0"/>
              <w:rtl/>
            </w:rPr>
            <w:t xml:space="preserve"> </w:t>
          </w:r>
          <w:sdt>
            <w:sdtPr>
              <w:rPr>
                <w:b/>
                <w:bCs/>
                <w:noProof w:val="0"/>
                <w:rtl/>
              </w:rPr>
              <w:alias w:val="3154"/>
              <w:tag w:val="3154"/>
              <w:id w:val="-1285889662"/>
              <w:placeholder>
                <w:docPart w:val="F5EF4663D5094D57BB3FEC6B89CF5C8E"/>
              </w:placeholder>
              <w:text w:multiLine="1"/>
            </w:sdtPr>
            <w:sdtEndPr/>
            <w:sdtContent>
              <w:r w:rsidR="00DA2495" w:rsidRPr="004B017F">
                <w:rPr>
                  <w:b/>
                  <w:bCs/>
                  <w:noProof w:val="0"/>
                  <w:rtl/>
                </w:rPr>
                <w:t>היועץ המשפטי לממשלה נ' א</w:t>
              </w:r>
              <w:r w:rsidR="00673173">
                <w:rPr>
                  <w:rFonts w:hint="cs"/>
                  <w:b/>
                  <w:bCs/>
                  <w:noProof w:val="0"/>
                  <w:rtl/>
                </w:rPr>
                <w:t>'</w:t>
              </w:r>
              <w:r w:rsidR="00DA2495" w:rsidRPr="004B017F">
                <w:rPr>
                  <w:b/>
                  <w:bCs/>
                  <w:noProof w:val="0"/>
                  <w:rtl/>
                </w:rPr>
                <w:t xml:space="preserve"> ואח'</w:t>
              </w:r>
            </w:sdtContent>
          </w:sdt>
          <w:r w:rsidR="007C2453" w:rsidRPr="004B017F">
            <w:rPr>
              <w:b/>
              <w:bCs/>
              <w:noProof w:val="0"/>
              <w:rtl/>
            </w:rPr>
            <w:t xml:space="preserve"> </w:t>
          </w:r>
          <w:r w:rsidR="001173C6" w:rsidRPr="004B017F">
            <w:rPr>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1E" w:rsidRDefault="003D631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73669B12"/>
    <w:lvl w:ilvl="0" w:tplc="A24A902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375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37569&amp;lt;/CaseID&amp;gt;_x000d__x000a_        &amp;lt;CaseMonth&amp;gt;11&amp;lt;/CaseMonth&amp;gt;_x000d__x000a_        &amp;lt;CaseYear&amp;gt;2023&amp;lt;/CaseYear&amp;gt;_x000d__x000a_        &amp;lt;CaseNumber&amp;gt;16894&amp;lt;/CaseNumber&amp;gt;_x000d__x000a_        &amp;lt;NumeratorGroupID&amp;gt;1&amp;lt;/NumeratorGroupID&amp;gt;_x000d__x000a_        &amp;lt;CaseName&amp;gt;היועץ המשפטי לממשלה נ&amp;#39; אוגניסיון ואח&amp;#39;&amp;lt;/CaseName&amp;gt;_x000d__x000a_        &amp;lt;CourtID&amp;gt;13&amp;lt;/CourtID&amp;gt;_x000d__x000a_        &amp;lt;CaseTypeID&amp;gt;10001&amp;lt;/CaseTypeID&amp;gt;_x000d__x000a_        &amp;lt;CaseInterestID&amp;gt;75&amp;lt;/CaseInterestID&amp;gt;_x000d__x000a_        &amp;lt;CaseJudgeName&amp;gt;אספרנצה אלו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16894-11-23&amp;lt;/CaseDisplayIdentifier&amp;gt;_x000d__x000a_        &amp;lt;CaseTypeDesc&amp;gt;ע&amp;quot;א&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1-08T11:43:00+02:00&amp;lt;/CaseOpenDate&amp;gt;_x000d__x000a_        &amp;lt;PleaTypeID&amp;gt;6&amp;lt;/PleaTypeID&amp;gt;_x000d__x000a_        &amp;lt;CourtLevelID&amp;gt;2&amp;lt;/CourtLevelID&amp;gt;_x000d__x000a_        &amp;lt;CourtLevelCaseTypeInterestID&amp;gt;2540&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החלטה מיום 12.11.23 נשלחה לביח במייל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37569&amp;lt;/CaseID&amp;gt;_x000d__x000a_        &amp;lt;CaseMonth&amp;gt;11&amp;lt;/CaseMonth&amp;gt;_x000d__x000a_        &amp;lt;CaseYear&amp;gt;2023&amp;lt;/CaseYear&amp;gt;_x000d__x000a_        &amp;lt;CaseNumber&amp;gt;16894&amp;lt;/CaseNumber&amp;gt;_x000d__x000a_        &amp;lt;NumeratorGroupID&amp;gt;1&amp;lt;/NumeratorGroupID&amp;gt;_x000d__x000a_        &amp;lt;CaseName&amp;gt;היועץ המשפטי לממשלה נ&amp;#39; אוגניסיון ואח&amp;#39;&amp;lt;/CaseName&amp;gt;_x000d__x000a_        &amp;lt;CourtID&amp;gt;13&amp;lt;/CourtID&amp;gt;_x000d__x000a_        &amp;lt;CaseTypeID&amp;gt;10001&amp;lt;/CaseTypeID&amp;gt;_x000d__x000a_        &amp;lt;CaseInterestID&amp;gt;75&amp;lt;/CaseInterestID&amp;gt;_x000d__x000a_        &amp;lt;CaseJudgeName&amp;gt;אספרנצה אלו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16894-11-23&amp;lt;/CaseDisplayIdentifier&amp;gt;_x000d__x000a_        &amp;lt;CaseTypeDesc&amp;gt;ע&amp;quot;א&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11-08T11:43:00+02:00&amp;lt;/CaseOpenDate&amp;gt;_x000d__x000a_        &amp;lt;PleaTypeID&amp;gt;6&amp;lt;/PleaTypeID&amp;gt;_x000d__x000a_        &amp;lt;CourtLevelID&amp;gt;2&amp;lt;/CourtLevelID&amp;gt;_x000d__x000a_        &amp;lt;CourtLevelCaseTypeInterestID&amp;gt;2540&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החלטה מיום 12.11.23 נשלחה לביח במייל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24572&amp;lt;/DecisionID&amp;gt;_x000d__x000a_        &amp;lt;DecisionName&amp;gt;פסק דין  שניתנה ע&amp;quot;י  אספרנצה אלון&amp;lt;/DecisionName&amp;gt;_x000d__x000a_        &amp;lt;DecisionStatusID&amp;gt;1&amp;lt;/DecisionStatusID&amp;gt;_x000d__x000a_        &amp;lt;DecisionStatusChangeDate&amp;gt;2023-11-14T14:33:57.357+02:00&amp;lt;/DecisionStatusChangeDate&amp;gt;_x000d__x000a_        &amp;lt;DecisionSignatureDate&amp;gt;2023-11-14T10:10:10.79+02:00&amp;lt;/DecisionSignatureDate&amp;gt;_x000d__x000a_        &amp;lt;DecisionSignatureUserID&amp;gt;057955775@GOV.IL&amp;lt;/DecisionSignatureUserID&amp;gt;_x000d__x000a_        &amp;lt;DecisionCreateDate&amp;gt;2023-11-14T10:06:34.797+02:00&amp;lt;/DecisionCreateDate&amp;gt;_x000d__x000a_        &amp;lt;DecisionChangeDate&amp;gt;2023-11-14T14:33:57.193+02:00&amp;lt;/DecisionChangeDate&amp;gt;_x000d__x000a_        &amp;lt;DecisionChangeUserID&amp;gt;057955775@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87425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2231244@GOV.IL&amp;lt;/DecisionCreationUserID&amp;gt;_x000d__x000a_        &amp;lt;DecisionDisplayName&amp;gt;פסק דין  שניתנה ע&amp;quot;י  אספרנצה אלון&amp;lt;/DecisionDisplayName&amp;gt;_x000d__x000a_        &amp;lt;IsScanned&amp;gt;false&amp;lt;/IsScanned&amp;gt;_x000d__x000a_        &amp;lt;DecisionSignatureUserName&amp;gt;אספרנצה אל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48024572&amp;lt;/DecisionID&amp;gt;_x000d__x000a_        &amp;lt;CaseID&amp;gt;80737569&amp;lt;/CaseID&amp;gt;_x000d__x000a_        &amp;lt;IsOriginal&amp;gt;true&amp;lt;/IsOriginal&amp;gt;_x000d__x000a_        &amp;lt;IsDeleted&amp;gt;false&amp;lt;/IsDeleted&amp;gt;_x000d__x000a_        &amp;lt;CaseName&amp;gt;היועץ המשפטי לממשלה נ&amp;#39; אוגניסיון ואח&amp;#39;&amp;lt;/CaseName&amp;gt;_x000d__x000a_        &amp;lt;CaseDisplayIdentifier&amp;gt;16894-11-23 ע&amp;quot;א&amp;lt;/CaseDisplayIdentifier&amp;gt;_x000d__x000a_      &amp;lt;/dt_DecisionCase&amp;gt;_x000d__x000a_    &amp;lt;/DecisionDS&amp;gt;_x000d__x000a_  &amp;lt;/diffgr:diffgram&amp;gt;_x000d__x000a_&amp;lt;/DecisionDS&amp;gt;"/>
    <w:docVar w:name="DecisionID" w:val="148024572"/>
    <w:docVar w:name="WordClientAssemblyName" w:val="NGCS.Decision.ClientWordBL"/>
    <w:docVar w:name="WordClientClassName" w:val="NGCS.Decision.ClientWordBL.DecisionClient"/>
  </w:docVars>
  <w:rsids>
    <w:rsidRoot w:val="00694556"/>
    <w:rsid w:val="00000062"/>
    <w:rsid w:val="0000226B"/>
    <w:rsid w:val="000057E4"/>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59C"/>
    <w:rsid w:val="0011194C"/>
    <w:rsid w:val="0011424C"/>
    <w:rsid w:val="001173C6"/>
    <w:rsid w:val="00122A9F"/>
    <w:rsid w:val="001367BC"/>
    <w:rsid w:val="00144D2A"/>
    <w:rsid w:val="0014653E"/>
    <w:rsid w:val="00154F51"/>
    <w:rsid w:val="00180519"/>
    <w:rsid w:val="00191C82"/>
    <w:rsid w:val="001A7F9B"/>
    <w:rsid w:val="001C4003"/>
    <w:rsid w:val="001D4DBF"/>
    <w:rsid w:val="001E75CA"/>
    <w:rsid w:val="002265FF"/>
    <w:rsid w:val="002316E7"/>
    <w:rsid w:val="00237795"/>
    <w:rsid w:val="00271B56"/>
    <w:rsid w:val="00272003"/>
    <w:rsid w:val="00272E32"/>
    <w:rsid w:val="002C344E"/>
    <w:rsid w:val="002E75E9"/>
    <w:rsid w:val="002F0B1E"/>
    <w:rsid w:val="00307A6A"/>
    <w:rsid w:val="00307C40"/>
    <w:rsid w:val="00320433"/>
    <w:rsid w:val="003230C7"/>
    <w:rsid w:val="00327E50"/>
    <w:rsid w:val="0033597A"/>
    <w:rsid w:val="00343D89"/>
    <w:rsid w:val="00352B46"/>
    <w:rsid w:val="00362612"/>
    <w:rsid w:val="0036743F"/>
    <w:rsid w:val="003715DD"/>
    <w:rsid w:val="00374B35"/>
    <w:rsid w:val="003823E0"/>
    <w:rsid w:val="003A4521"/>
    <w:rsid w:val="003D1C8C"/>
    <w:rsid w:val="003D631E"/>
    <w:rsid w:val="003D67F8"/>
    <w:rsid w:val="003E38C7"/>
    <w:rsid w:val="0040096C"/>
    <w:rsid w:val="00400CC9"/>
    <w:rsid w:val="00414F1F"/>
    <w:rsid w:val="00422BEE"/>
    <w:rsid w:val="0043125D"/>
    <w:rsid w:val="0043502B"/>
    <w:rsid w:val="004443AC"/>
    <w:rsid w:val="00444B02"/>
    <w:rsid w:val="00451E28"/>
    <w:rsid w:val="00462C62"/>
    <w:rsid w:val="00465D36"/>
    <w:rsid w:val="004B017F"/>
    <w:rsid w:val="004B6ECB"/>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60795"/>
    <w:rsid w:val="00576A86"/>
    <w:rsid w:val="005F4F09"/>
    <w:rsid w:val="00603F73"/>
    <w:rsid w:val="0061431B"/>
    <w:rsid w:val="00622BAA"/>
    <w:rsid w:val="006306CF"/>
    <w:rsid w:val="00644E9A"/>
    <w:rsid w:val="0065191A"/>
    <w:rsid w:val="00671BD5"/>
    <w:rsid w:val="00673173"/>
    <w:rsid w:val="006805C1"/>
    <w:rsid w:val="00686C21"/>
    <w:rsid w:val="006931C1"/>
    <w:rsid w:val="00694556"/>
    <w:rsid w:val="006B4F2D"/>
    <w:rsid w:val="006C30C5"/>
    <w:rsid w:val="006D3B31"/>
    <w:rsid w:val="006E0D96"/>
    <w:rsid w:val="006E1A53"/>
    <w:rsid w:val="006F56E6"/>
    <w:rsid w:val="00704EDA"/>
    <w:rsid w:val="00713D77"/>
    <w:rsid w:val="00721122"/>
    <w:rsid w:val="00734689"/>
    <w:rsid w:val="007351F7"/>
    <w:rsid w:val="00753019"/>
    <w:rsid w:val="00754801"/>
    <w:rsid w:val="00761441"/>
    <w:rsid w:val="00795365"/>
    <w:rsid w:val="007A351D"/>
    <w:rsid w:val="007B7765"/>
    <w:rsid w:val="007C2453"/>
    <w:rsid w:val="007C5BDD"/>
    <w:rsid w:val="007D45E3"/>
    <w:rsid w:val="007E6115"/>
    <w:rsid w:val="007F4026"/>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5EB8"/>
    <w:rsid w:val="0094424E"/>
    <w:rsid w:val="00947E88"/>
    <w:rsid w:val="00955642"/>
    <w:rsid w:val="009622DF"/>
    <w:rsid w:val="0096493F"/>
    <w:rsid w:val="00967DFF"/>
    <w:rsid w:val="00994341"/>
    <w:rsid w:val="009D1A48"/>
    <w:rsid w:val="009E19B7"/>
    <w:rsid w:val="009E1CE7"/>
    <w:rsid w:val="009E461A"/>
    <w:rsid w:val="009E4EA5"/>
    <w:rsid w:val="009F164B"/>
    <w:rsid w:val="009F323C"/>
    <w:rsid w:val="00A3392B"/>
    <w:rsid w:val="00A35BB0"/>
    <w:rsid w:val="00A41F79"/>
    <w:rsid w:val="00A46717"/>
    <w:rsid w:val="00A52085"/>
    <w:rsid w:val="00A85E34"/>
    <w:rsid w:val="00A9144F"/>
    <w:rsid w:val="00A94B64"/>
    <w:rsid w:val="00AA3229"/>
    <w:rsid w:val="00AA497A"/>
    <w:rsid w:val="00AA7596"/>
    <w:rsid w:val="00AB3AE3"/>
    <w:rsid w:val="00AB55C0"/>
    <w:rsid w:val="00AB5E52"/>
    <w:rsid w:val="00AC3B02"/>
    <w:rsid w:val="00AC3B7B"/>
    <w:rsid w:val="00AC5209"/>
    <w:rsid w:val="00AD72A5"/>
    <w:rsid w:val="00AE0E34"/>
    <w:rsid w:val="00AE729E"/>
    <w:rsid w:val="00AE7752"/>
    <w:rsid w:val="00AF7FDA"/>
    <w:rsid w:val="00B5356E"/>
    <w:rsid w:val="00B55C57"/>
    <w:rsid w:val="00B809AD"/>
    <w:rsid w:val="00B80CBD"/>
    <w:rsid w:val="00B859C5"/>
    <w:rsid w:val="00B86096"/>
    <w:rsid w:val="00B964D9"/>
    <w:rsid w:val="00BA0A7C"/>
    <w:rsid w:val="00BA517C"/>
    <w:rsid w:val="00BA7752"/>
    <w:rsid w:val="00BB3D05"/>
    <w:rsid w:val="00BB53D3"/>
    <w:rsid w:val="00BB73BE"/>
    <w:rsid w:val="00BC2D89"/>
    <w:rsid w:val="00BD6531"/>
    <w:rsid w:val="00BE05B2"/>
    <w:rsid w:val="00BE79A2"/>
    <w:rsid w:val="00BF1908"/>
    <w:rsid w:val="00C22D93"/>
    <w:rsid w:val="00C23458"/>
    <w:rsid w:val="00C23AC9"/>
    <w:rsid w:val="00C31120"/>
    <w:rsid w:val="00C34482"/>
    <w:rsid w:val="00C348E1"/>
    <w:rsid w:val="00C43648"/>
    <w:rsid w:val="00C50A9F"/>
    <w:rsid w:val="00C642FA"/>
    <w:rsid w:val="00C66965"/>
    <w:rsid w:val="00C770E3"/>
    <w:rsid w:val="00CC0D7C"/>
    <w:rsid w:val="00CC7622"/>
    <w:rsid w:val="00CD608F"/>
    <w:rsid w:val="00CF6BB7"/>
    <w:rsid w:val="00D04AA4"/>
    <w:rsid w:val="00D27982"/>
    <w:rsid w:val="00D33B86"/>
    <w:rsid w:val="00D44968"/>
    <w:rsid w:val="00D53924"/>
    <w:rsid w:val="00D55D0C"/>
    <w:rsid w:val="00D96D8C"/>
    <w:rsid w:val="00DA2495"/>
    <w:rsid w:val="00DA2650"/>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56636"/>
    <w:rsid w:val="00E80CBE"/>
    <w:rsid w:val="00E90302"/>
    <w:rsid w:val="00E9269D"/>
    <w:rsid w:val="00E962E3"/>
    <w:rsid w:val="00EB6C79"/>
    <w:rsid w:val="00EC37E9"/>
    <w:rsid w:val="00EE57FF"/>
    <w:rsid w:val="00F038D8"/>
    <w:rsid w:val="00F04A51"/>
    <w:rsid w:val="00F059A2"/>
    <w:rsid w:val="00F06995"/>
    <w:rsid w:val="00F12D66"/>
    <w:rsid w:val="00F13623"/>
    <w:rsid w:val="00F22CD0"/>
    <w:rsid w:val="00F44D1D"/>
    <w:rsid w:val="00F84B6D"/>
    <w:rsid w:val="00F957E8"/>
    <w:rsid w:val="00FA311A"/>
    <w:rsid w:val="00FA5C93"/>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B017F"/>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96835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1693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50ABD" w:rsidP="00A50ABD">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019F5"/>
    <w:rsid w:val="002D02C4"/>
    <w:rsid w:val="00345C9D"/>
    <w:rsid w:val="0048651F"/>
    <w:rsid w:val="005157ED"/>
    <w:rsid w:val="005171E8"/>
    <w:rsid w:val="00556D67"/>
    <w:rsid w:val="00777E80"/>
    <w:rsid w:val="00793995"/>
    <w:rsid w:val="007C6F98"/>
    <w:rsid w:val="007E254A"/>
    <w:rsid w:val="00817811"/>
    <w:rsid w:val="008B4366"/>
    <w:rsid w:val="009133C7"/>
    <w:rsid w:val="009178E4"/>
    <w:rsid w:val="00961B27"/>
    <w:rsid w:val="009A4BEE"/>
    <w:rsid w:val="00A50ABD"/>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50AB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A50ABD"/>
    <w:pPr>
      <w:bidi/>
      <w:spacing w:after="0" w:line="240" w:lineRule="auto"/>
    </w:pPr>
    <w:rPr>
      <w:rFonts w:ascii="Times New Roman" w:eastAsia="Times New Roman" w:hAnsi="Times New Roman" w:cs="David"/>
      <w:noProof/>
      <w:sz w:val="24"/>
      <w:szCs w:val="24"/>
    </w:rPr>
  </w:style>
  <w:style w:type="paragraph" w:customStyle="1" w:styleId="0DB0139CC0D74ECDA532040ED5DADE84">
    <w:name w:val="0DB0139CC0D74ECDA532040ED5DADE84"/>
    <w:rsid w:val="00A50ABD"/>
    <w:pPr>
      <w:bidi/>
      <w:spacing w:after="160" w:line="259" w:lineRule="auto"/>
    </w:pPr>
  </w:style>
  <w:style w:type="paragraph" w:customStyle="1" w:styleId="FF87DFEEE72E435D8FA1DBEC26C72FFC">
    <w:name w:val="FF87DFEEE72E435D8FA1DBEC26C72FFC"/>
    <w:rsid w:val="00A50AB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דיקלה ויסוצקי</FullName>
        <FirstName>דיקלה</FirstName>
        <LastName>ויסוצקי</LastName>
        <PartyPropertyName/>
        <AuthenticationTypeAndNumber>מ.ר. 44074</AuthenticationTypeAndNumber>
        <RepresentatedOrRepresentativesNames>ארטיום אוגנסיון</RepresentatedOrRepresentativesNames>
        <RepresentatedOrRepresentativesCount>1</RepresentatedOrRepresentativesCount>
        <InvitedBy/>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262320939</CasePartyID>
        <PartyTypeID>2</PartyTypeID>
        <ActivityStatusID>1</ActivityStatusID>
        <PartyAliasID>23</PartyAliasID>
        <PartyAliasName>בא כוח משיבים</PartyAliasName>
        <LegalEntityID>418564</LegalEntityID>
        <CaseLegalEntityID>126562618</CaseLegalEntityID>
        <AuthenticationTypeID>4</AuthenticationTypeID>
        <AuthenticationTypeName>מ.ר.</AuthenticationTypeName>
        <LegalEntityNumber>44074</LegalEntityNumber>
        <IsMainPartyType>true</IsMainPartyType>
        <CaseDisplayIdentifier>16894-11-23</CaseDisplayIdentifier>
        <CaseTypeID>10001</CaseTypeID>
        <CaseTypeName>ערעור אזרחי (ע"א)</CaseTypeName>
        <CaseName>היועץ המשפטי לממשלה נ' אוגניסיון ואח'</CaseName>
        <FullAddress>משוב צרופה צרופה </FullAddress>
        <EmailAddress>hagai4u@gmail.com</EmailAddress>
        <MotionID>0</MotionID>
        <CasePleaID>0</CasePleaID>
        <LinkedCaseID>0</LinkedCaseID>
        <PartyID>2</PartyID>
        <CasePartyCategoryID>2</CasePartyCategoryID>
        <LegalEntityAddressID>74732911</LegalEntityAddressID>
        <LegalEntityEmailAddressID>67851954</LegalEntityEmailAddressID>
        <PleaTypeID>6</PleaTypeID>
        <LawyerOfficeName>משרד עו"ד: דיקלה ויסוצקי</LawyerOfficeName>
        <LawyerOfficeID>459208</LawyerOfficeID>
        <GroupPartyAlias/>
        <IsConverted>false</IsConverted>
        <LegalEntityNameID>39548</LegalEntityNameID>
        <RepresentatedNamesOfAssistant/>
        <LegalEntityTypeID>4</LegalEntityTypeID>
        <IsVerdictExists>false</IsVerdictExists>
        <IsAsirAzir>false</IsAsirAzir>
        <IsPublicationProhibited>false</IsPublicationProhibited>
        <PublicationProhibitedFullName>דיקלה ויסוצקי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הילה כץ</RepresentatedOrRepresentativesNames>
        <RepresentatedOrRepresentativesCount>1</RepresentatedOrRepresentativesCount>
        <InvitedBy/>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262320712</CasePartyID>
        <PartyTypeID>1</PartyTypeID>
        <ActivityStatusID>1</ActivityStatusID>
        <PartyAliasID>5</PartyAliasID>
        <PartyAliasName>מערער</PartyAliasName>
        <OrdinalNumber>1</OrdinalNumber>
        <LegalEntityID>7545341</LegalEntityID>
        <CaseLegalEntityID>126562567</CaseLegalEntityID>
        <AuthenticationTypeID>13</AuthenticationTypeID>
        <AuthenticationTypeName>משרדי ממשלה</AuthenticationTypeName>
        <LegalEntityNumber>513442037</LegalEntityNumber>
        <IsMainPartyType>true</IsMainPartyType>
        <CaseDisplayIdentifier>16894-11-23</CaseDisplayIdentifier>
        <CaseTypeID>10001</CaseTypeID>
        <CaseTypeName>ערעור אזרחי (ע"א)</CaseTypeName>
        <CaseName>היועץ המשפטי לממשלה נ' אוגניסיון ואח'</CaseName>
        <FullAddress>ע"י פרקליטות המחוז ירושלים ..</FullAddress>
        <MotionID>0</MotionID>
        <CasePleaID>0</CasePleaID>
        <LinkedCaseID>0</LinkedCaseID>
        <PartyID>1</PartyID>
        <CasePartyCategoryID>2</CasePartyCategoryID>
        <LegalEntityAddressID>82082780</LegalEntityAddressID>
        <PleaTypeID>6</PleaTypeID>
        <GroupPartyAlias>מערערים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262320713</CasePartyID>
        <PartyTypeID>2</PartyTypeID>
        <ActivityStatusID>1</ActivityStatusID>
        <PartyAliasID>24</PartyAliasID>
        <PartyAliasName>בא כוח מערערים</PartyAliasName>
        <OrdinalNumber>1</OrdinalNumber>
        <LegalEntityID>403146</LegalEntityID>
        <CaseLegalEntityID>126562568</CaseLegalEntityID>
        <AuthenticationTypeID>4</AuthenticationTypeID>
        <AuthenticationTypeName>מ.ר.</AuthenticationTypeName>
        <LegalEntityNumber>25940</LegalEntityNumber>
        <IsMainPartyType>true</IsMainPartyType>
        <CaseDisplayIdentifier>16894-11-23</CaseDisplayIdentifier>
        <CaseTypeID>10001</CaseTypeID>
        <CaseTypeName>ערעור אזרחי (ע"א)</CaseTypeName>
        <CaseName>היועץ המשפטי לממשלה נ' אוגניסיון ואח'</CaseName>
        <FullAddress>פל ים 15 חיפה </FullAddress>
        <MotionID>0</MotionID>
        <CasePleaID>0</CasePleaID>
        <FatherName>יעקב</FatherName>
        <LinkedCaseID>0</LinkedCaseID>
        <PartyID>1</PartyID>
        <CasePartyCategoryID>2</CasePartyCategoryID>
        <LegalEntityAddressID>7619854</LegalEntityAddressID>
        <PleaTypeID>6</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ארטיום אוגנסיון</FullName>
        <FirstName>ארטיום</FirstName>
        <LastName>אוגניסיון</LastName>
        <PartyPropertyName/>
        <AuthenticationTypeAndNumber>ת"ז 309679702</AuthenticationTypeAndNumber>
        <RepresentatedOrRepresentativesNames>דיקלה ויסוצקי</RepresentatedOrRepresentativesNames>
        <RepresentatedOrRepresentativesCount>1</RepresentatedOrRepresentativesCount>
        <InvitedBy/>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262320714</CasePartyID>
        <PartyTypeID>1</PartyTypeID>
        <ActivityStatusID>1</ActivityStatusID>
        <PartyAliasID>4</PartyAliasID>
        <PartyAliasName>משיב</PartyAliasName>
        <OrdinalNumber>1</OrdinalNumber>
        <LegalEntityID>1861118</LegalEntityID>
        <CaseLegalEntityID>126562569</CaseLegalEntityID>
        <AuthenticationTypeID>1</AuthenticationTypeID>
        <AuthenticationTypeName>ת"ז</AuthenticationTypeName>
        <LegalEntityNumber>309679702</LegalEntityNumber>
        <IsMainPartyType>true</IsMainPartyType>
        <CaseDisplayIdentifier>16894-11-23</CaseDisplayIdentifier>
        <CaseTypeID>10001</CaseTypeID>
        <CaseTypeName>ערעור אזרחי (ע"א)</CaseTypeName>
        <CaseName>היועץ המשפטי לממשלה נ' אוגניסיון ואח'</CaseName>
        <FullAddress/>
        <MotionID>0</MotionID>
        <CasePleaID>0</CasePleaID>
        <FatherName>מרטין</FatherName>
        <LinkedCaseID>0</LinkedCaseID>
        <PartyID>2</PartyID>
        <CasePartyCategoryID>2</CasePartyCategoryID>
        <PleaTypeID>6</PleaTypeID>
        <GroupPartyAlias>משיבים</GroupPartyAlias>
        <IsConverted>false</IsConverted>
        <LegalEntityRegisteredNameID>6427637</LegalEntityRegisteredNameID>
        <LegalEntityNameID>95694547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ארטיום אוגנסיון</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מרכז בריאות הנפש מזרע (מזור)</FullName>
        <LastName>מרכז בריאות הנפש מזרע (מזור)</LastName>
        <PartyPropertyName/>
        <AuthenticationTypeAndNumber>גופים על פי דין 513436123</AuthenticationTypeAndNumber>
        <RepresentatedOrRepresentativesNames/>
        <RepresentatedOrRepresentativesCount>0</RepresentatedOrRepresentativesCount>
        <InvitedBy/>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262320715</CasePartyID>
        <PartyTypeID>1</PartyTypeID>
        <ActivityStatusID>1</ActivityStatusID>
        <PartyAliasID>4</PartyAliasID>
        <PartyAliasName>משיב</PartyAliasName>
        <OrdinalNumber>2</OrdinalNumber>
        <LegalEntityID>12644353</LegalEntityID>
        <CaseLegalEntityID>126562570</CaseLegalEntityID>
        <AuthenticationTypeID>17</AuthenticationTypeID>
        <AuthenticationTypeName>גופים על פי דין</AuthenticationTypeName>
        <LegalEntityNumber>513436123</LegalEntityNumber>
        <IsMainPartyType>true</IsMainPartyType>
        <CaseDisplayIdentifier>16894-11-23</CaseDisplayIdentifier>
        <CaseTypeID>10001</CaseTypeID>
        <CaseTypeName>ערעור אזרחי (ע"א)</CaseTypeName>
        <CaseName>היועץ המשפטי לממשלה נ' אוגניסיון ואח'</CaseName>
        <FullAddress>דוכיפת 2 עכו </FullAddress>
        <MotionID>0</MotionID>
        <CasePleaID>0</CasePleaID>
        <LinkedCaseID>0</LinkedCaseID>
        <PartyID>2</PartyID>
        <CasePartyCategoryID>2</CasePartyCategoryID>
        <LegalEntityAddressID>79730459</LegalEntityAddressID>
        <PleaTypeID>6</PleaTypeID>
        <GroupPartyAlias>משיבים</GroupPartyAlias>
        <IsConverted>false</IsConverted>
        <LegalEntityRegisteredNameID>6218861</LegalEntityRegisteredNameID>
        <RepresentatedNamesOfAssistant/>
        <LegalEntityTypeID>3</LegalEntityTypeID>
        <IsVerdictExists>false</IsVerdictExists>
        <IsAsirAzir>false</IsAsirAzir>
        <IsPublicationProhibited>false</IsPublicationProhibited>
        <PublicationProhibitedFullName>מרכז בריאות הנפש מזרע (מזור)</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2023-11-14T10:02:18.0763195+02:00</DecisionSignatureDate>
    <OpenCaseDate>2023-11-08T11:43:00+02:00</OpenCaseDate>
    <CaseFeeSum>0.000</CaseFeeSum>
    <DecisionTypeID>2</DecisionTypeID>
    <DecisionSignatureUserName>אספרנצה אלון</DecisionSignatureUserName>
    <DecisionSignatureDateHebrew>2023-11-14T10:02:18.0763195+02:00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היועץ המשפטי לממשלה נ' אוגניסיון ואח'</CaseName>
    <DecisionNumberInCase>3</DecisionNumberInCase>
  </dt_Decision>
  <dt_DecisionCase>
    <DecisionID>0</DecisionID>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דיקלה ויסוצקי</FullName>
        <FirstName>דיקלה</FirstName>
        <LastName>ויסוצקי</LastName>
        <PartyPropertyName/>
        <AuthenticationTypeAndNumber>מ.ר. 44074</AuthenticationTypeAndNumber>
        <RepresentatedOrRepresentativesNames>ארטיום אוגנסיון</RepresentatedOrRepresentativesNames>
        <RepresentatedOrRepresentativesCount>1</RepresentatedOrRepresentativesCount>
        <InvitedBy/>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262320939</CasePartyID>
        <PartyTypeID>2</PartyTypeID>
        <ActivityStatusID>1</ActivityStatusID>
        <PartyAliasID>23</PartyAliasID>
        <PartyAliasName>בא כוח משיבים</PartyAliasName>
        <LegalEntityID>418564</LegalEntityID>
        <CaseLegalEntityID>126562618</CaseLegalEntityID>
        <AuthenticationTypeID>4</AuthenticationTypeID>
        <AuthenticationTypeName>מ.ר.</AuthenticationTypeName>
        <LegalEntityNumber>44074</LegalEntityNumber>
        <IsMainPartyType>true</IsMainPartyType>
        <CaseDisplayIdentifier>16894-11-23</CaseDisplayIdentifier>
        <CaseTypeID>10001</CaseTypeID>
        <CaseTypeName>ערעור אזרחי (ע"א)</CaseTypeName>
        <CaseName>היועץ המשפטי לממשלה נ' אוגניסיון ואח'</CaseName>
        <FullAddress>משוב צרופה צרופה </FullAddress>
        <EmailAddress>hagai4u@gmail.com</EmailAddress>
        <MotionID>0</MotionID>
        <CasePleaID>0</CasePleaID>
        <LinkedCaseID>0</LinkedCaseID>
        <PartyID>2</PartyID>
        <CasePartyCategoryID>2</CasePartyCategoryID>
        <LegalEntityAddressID>74732911</LegalEntityAddressID>
        <LegalEntityEmailAddressID>67851954</LegalEntityEmailAddressID>
        <PleaTypeID>6</PleaTypeID>
        <LawyerOfficeName>משרד עו"ד: דיקלה ויסוצקי</LawyerOfficeName>
        <LawyerOfficeID>459208</LawyerOfficeID>
        <GroupPartyAlias/>
        <IsConverted>false</IsConverted>
        <LegalEntityNameID>39548</LegalEntityNameID>
        <RepresentatedNamesOfAssistant/>
        <LegalEntityTypeID>4</LegalEntityTypeID>
        <IsVerdictExists>false</IsVerdictExists>
        <IsAsirAzir>false</IsAsirAzir>
        <IsPublicationProhibited>false</IsPublicationProhibited>
        <PublicationProhibitedFullName>דיקלה ויסוצקי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הילה כץ</RepresentatedOrRepresentativesNames>
        <RepresentatedOrRepresentativesCount>1</RepresentatedOrRepresentativesCount>
        <InvitedBy/>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262320712</CasePartyID>
        <PartyTypeID>1</PartyTypeID>
        <ActivityStatusID>1</ActivityStatusID>
        <PartyAliasID>5</PartyAliasID>
        <PartyAliasName>מערער</PartyAliasName>
        <OrdinalNumber>1</OrdinalNumber>
        <LegalEntityID>7545341</LegalEntityID>
        <CaseLegalEntityID>126562567</CaseLegalEntityID>
        <AuthenticationTypeID>13</AuthenticationTypeID>
        <AuthenticationTypeName>משרדי ממשלה</AuthenticationTypeName>
        <LegalEntityNumber>513442037</LegalEntityNumber>
        <IsMainPartyType>true</IsMainPartyType>
        <CaseDisplayIdentifier>16894-11-23</CaseDisplayIdentifier>
        <CaseTypeID>10001</CaseTypeID>
        <CaseTypeName>ערעור אזרחי (ע"א)</CaseTypeName>
        <CaseName>היועץ המשפטי לממשלה נ' אוגניסיון ואח'</CaseName>
        <FullAddress>ע"י פרקליטות המחוז ירושלים ..</FullAddress>
        <MotionID>0</MotionID>
        <CasePleaID>0</CasePleaID>
        <LinkedCaseID>0</LinkedCaseID>
        <PartyID>1</PartyID>
        <CasePartyCategoryID>2</CasePartyCategoryID>
        <LegalEntityAddressID>82082780</LegalEntityAddressID>
        <PleaTypeID>6</PleaTypeID>
        <GroupPartyAlias>מערערים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262320713</CasePartyID>
        <PartyTypeID>2</PartyTypeID>
        <ActivityStatusID>1</ActivityStatusID>
        <PartyAliasID>24</PartyAliasID>
        <PartyAliasName>בא כוח מערערים</PartyAliasName>
        <OrdinalNumber>1</OrdinalNumber>
        <LegalEntityID>403146</LegalEntityID>
        <CaseLegalEntityID>126562568</CaseLegalEntityID>
        <AuthenticationTypeID>4</AuthenticationTypeID>
        <AuthenticationTypeName>מ.ר.</AuthenticationTypeName>
        <LegalEntityNumber>25940</LegalEntityNumber>
        <IsMainPartyType>true</IsMainPartyType>
        <CaseDisplayIdentifier>16894-11-23</CaseDisplayIdentifier>
        <CaseTypeID>10001</CaseTypeID>
        <CaseTypeName>ערעור אזרחי (ע"א)</CaseTypeName>
        <CaseName>היועץ המשפטי לממשלה נ' אוגניסיון ואח'</CaseName>
        <FullAddress>פל ים 15 חיפה </FullAddress>
        <MotionID>0</MotionID>
        <CasePleaID>0</CasePleaID>
        <FatherName>יעקב</FatherName>
        <LinkedCaseID>0</LinkedCaseID>
        <PartyID>1</PartyID>
        <CasePartyCategoryID>2</CasePartyCategoryID>
        <LegalEntityAddressID>7619854</LegalEntityAddressID>
        <PleaTypeID>6</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ארטיום אוגנסיון</FullName>
        <FirstName>ארטיום</FirstName>
        <LastName>אוגניסיון</LastName>
        <PartyPropertyName/>
        <AuthenticationTypeAndNumber>ת"ז 309679702</AuthenticationTypeAndNumber>
        <RepresentatedOrRepresentativesNames>דיקלה ויסוצקי</RepresentatedOrRepresentativesNames>
        <RepresentatedOrRepresentativesCount>1</RepresentatedOrRepresentativesCount>
        <InvitedBy/>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262320714</CasePartyID>
        <PartyTypeID>1</PartyTypeID>
        <ActivityStatusID>1</ActivityStatusID>
        <PartyAliasID>4</PartyAliasID>
        <PartyAliasName>משיב</PartyAliasName>
        <OrdinalNumber>1</OrdinalNumber>
        <LegalEntityID>1861118</LegalEntityID>
        <CaseLegalEntityID>126562569</CaseLegalEntityID>
        <AuthenticationTypeID>1</AuthenticationTypeID>
        <AuthenticationTypeName>ת"ז</AuthenticationTypeName>
        <LegalEntityNumber>309679702</LegalEntityNumber>
        <IsMainPartyType>true</IsMainPartyType>
        <CaseDisplayIdentifier>16894-11-23</CaseDisplayIdentifier>
        <CaseTypeID>10001</CaseTypeID>
        <CaseTypeName>ערעור אזרחי (ע"א)</CaseTypeName>
        <CaseName>היועץ המשפטי לממשלה נ' אוגניסיון ואח'</CaseName>
        <FullAddress/>
        <MotionID>0</MotionID>
        <CasePleaID>0</CasePleaID>
        <FatherName>מרטין</FatherName>
        <LinkedCaseID>0</LinkedCaseID>
        <PartyID>2</PartyID>
        <CasePartyCategoryID>2</CasePartyCategoryID>
        <PleaTypeID>6</PleaTypeID>
        <GroupPartyAlias>משיבים</GroupPartyAlias>
        <IsConverted>false</IsConverted>
        <LegalEntityRegisteredNameID>6427637</LegalEntityRegisteredNameID>
        <LegalEntityNameID>95694547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ארטיום אוגנסיון</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מרכז בריאות הנפש מזרע (מזור)</FullName>
        <LastName>מרכז בריאות הנפש מזרע (מזור)</LastName>
        <PartyPropertyName/>
        <AuthenticationTypeAndNumber>גופים על פי דין 513436123</AuthenticationTypeAndNumber>
        <RepresentatedOrRepresentativesNames/>
        <RepresentatedOrRepresentativesCount>0</RepresentatedOrRepresentativesCount>
        <InvitedBy/>
        <CaseID>80737569</CaseID>
        <CaseJudicialPersonPresentationDS>
          <CaseJudicalPersonActive>
            <CaseID>80737569</CaseID>
            <JudicialPersonID>057955775@GOV.IL</JudicialPersonID>
            <JudicialPersonTypeID>1</JudicialPersonTypeID>
            <JudicialTypeID>1</JudicialTypeID>
            <IsChairman>false</IsChairman>
            <TreatmentStartDate>2023-11-08T11:57:02.19+02:00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262320715</CasePartyID>
        <PartyTypeID>1</PartyTypeID>
        <ActivityStatusID>1</ActivityStatusID>
        <PartyAliasID>4</PartyAliasID>
        <PartyAliasName>משיב</PartyAliasName>
        <OrdinalNumber>2</OrdinalNumber>
        <LegalEntityID>12644353</LegalEntityID>
        <CaseLegalEntityID>126562570</CaseLegalEntityID>
        <AuthenticationTypeID>17</AuthenticationTypeID>
        <AuthenticationTypeName>גופים על פי דין</AuthenticationTypeName>
        <LegalEntityNumber>513436123</LegalEntityNumber>
        <IsMainPartyType>true</IsMainPartyType>
        <CaseDisplayIdentifier>16894-11-23</CaseDisplayIdentifier>
        <CaseTypeID>10001</CaseTypeID>
        <CaseTypeName>ערעור אזרחי (ע"א)</CaseTypeName>
        <CaseName>היועץ המשפטי לממשלה נ' אוגניסיון ואח'</CaseName>
        <FullAddress>דוכיפת 2 עכו </FullAddress>
        <MotionID>0</MotionID>
        <CasePleaID>0</CasePleaID>
        <LinkedCaseID>0</LinkedCaseID>
        <PartyID>2</PartyID>
        <CasePartyCategoryID>2</CasePartyCategoryID>
        <LegalEntityAddressID>79730459</LegalEntityAddressID>
        <PleaTypeID>6</PleaTypeID>
        <GroupPartyAlias>משיבים</GroupPartyAlias>
        <IsConverted>false</IsConverted>
        <LegalEntityRegisteredNameID>6218861</LegalEntityRegisteredNameID>
        <RepresentatedNamesOfAssistant/>
        <LegalEntityTypeID>3</LegalEntityTypeID>
        <IsVerdictExists>false</IsVerdictExists>
        <IsAsirAzir>false</IsAsirAzir>
        <IsPublicationProhibited>false</IsPublicationProhibited>
        <PublicationProhibitedFullName>מרכז בריאות הנפש מזרע (מזור)</PublicationProhibitedFullName>
      </CaseParties>
    </CasePartiesSelectionDS>
    <CaseName>היועץ המשפטי לממשלה נ' אוגניסיון ואח'</CaseName>
    <CaseDisplayIdentifier>16894-11-23</CaseDisplayIdentifier>
    <CaseInterestID>75</CaseInterestID>
    <CaseTypeShortName>ע"א</CaseTypeShortName>
  </dt_DecisionCase>
  <dt_DecisionJudgePanel>
    <JudgeID>057955775@GOV.IL</JudgeID>
    <DisplayName>אספרנצה אלון</DisplayName>
    <RoleName>שופט</RoleName>
    <UserTitleName>שופטת</UserTitleName>
  </dt_DecisionJudgePanel>
  <dt_LegalEntityDetails>
    <Fax>077-4604502</Fax>
    <PartyID>2</PartyID>
    <PartyTypeID>2</PartyTypeID>
    <DecisionID>0</DecisionID>
    <StreetName>משוב צרופה</StreetName>
    <ZipCode>30850</ZipCode>
    <CityName>צרופה</CityName>
    <FullName>דיקלה ויסוצקי</FullName>
    <Email>hagai4u@gmail.com</Email>
    <IsPublicationProhibited>false</IsPublicationProhibited>
  </dt_LegalEntityDetails>
  <dt_LegalEntityDetails>
    <Fax>03-5138222</Fax>
    <AddressDesc>..</AddressDesc>
    <PartyID>1</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02-6467060</Fax>
    <Phone>04-8633888</Phone>
    <PartyID>1</PartyID>
    <PartyTypeID>2</PartyTypeID>
    <DecisionID>0</DecisionID>
    <StreetName>פל ים 15</StreetName>
    <CityName>חיפה</CityName>
    <FullName>הילה כץ</FullName>
    <Email>Hf-plili@justice.gov.il</Email>
    <IsPublicationProhibited>false</IsPublicationProhibited>
  </dt_LegalEntityDetails>
  <dt_LegalEntityDetails>
    <PartyID>2</PartyID>
    <PartyTypeID>1</PartyTypeID>
    <DecisionID>0</DecisionID>
    <IsPublicationProhibited>false</IsPublicationProhibited>
  </dt_LegalEntityDetails>
  <dt_LegalEntityDetails>
    <Fax>04-9559614</Fax>
    <Phone>04-9559597</Phone>
    <PartyID>2</PartyID>
    <PartyTypeID>1</PartyTypeID>
    <DecisionID>0</DecisionID>
    <StreetName>דוכיפת 2</StreetName>
    <CityName>עכו</CityName>
    <FullName> מרכז בריאות הנפש מזרע (מזור)</FullName>
    <Email>vamron@mazor.health.gov.il</Email>
    <IsPublicationProhibited>false</IsPublicationProhibited>
  </dt_LegalEntityDetails>
  <dt_CaseJudicalPersonActive>
    <CaseJudicalPerson>שופטת אספרנצה אלון</CaseJudicalPerson>
  </dt_CaseJudicalPersonActive>
  <dt_Sitting>
    <PreviousMeetingDate>2023-11-12T11:30:00+02:00</PreviousMeetingDate>
    <PreviousSittingTypeID>5</PreviousSittingTypeID>
    <PreviousMeetingDisplayName>שופטת אספרנצה אלון</PreviousMeetingDisplayName>
    <PreviousMeetingRoleName>שופט</PreviousMeetingRoleName>
    <PreviousMeetingUserTitleName>שופטת</PreviousMeetingUserTitleName>
    <PreviousMeetingUserUPN>057955775@GOV.IL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AC66A-CF98-4330-BF4A-D90492CACF64}">
  <ds:schemaRefs/>
</ds:datastoreItem>
</file>

<file path=customXml/itemProps2.xml><?xml version="1.0" encoding="utf-8"?>
<ds:datastoreItem xmlns:ds="http://schemas.openxmlformats.org/officeDocument/2006/customXml" ds:itemID="{154A6ED1-0F9D-46C7-B230-67C5AAFE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2292</Words>
  <Characters>11464</Characters>
  <Application>Microsoft Office Word</Application>
  <DocSecurity>0</DocSecurity>
  <Lines>95</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2023-11-23T06:17:00Z</cp:lastPrinted>
  <dcterms:created xsi:type="dcterms:W3CDTF">2023-11-26T11:28:00Z</dcterms:created>
  <dcterms:modified xsi:type="dcterms:W3CDTF">2023-11-26T11:28:00Z</dcterms:modified>
</cp:coreProperties>
</file>